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CD" w:rsidRDefault="001C72CD" w:rsidP="005628E0">
      <w:pPr>
        <w:pStyle w:val="Pealkiri2"/>
        <w:rPr>
          <w:b/>
          <w:lang w:val="en-GB"/>
        </w:rPr>
      </w:pPr>
      <w:bookmarkStart w:id="0" w:name="_GoBack"/>
      <w:bookmarkEnd w:id="0"/>
      <w:r>
        <w:rPr>
          <w:b/>
          <w:noProof/>
          <w:lang w:eastAsia="et-EE"/>
        </w:rPr>
        <w:drawing>
          <wp:inline distT="0" distB="0" distL="0" distR="0" wp14:anchorId="35F60513" wp14:editId="3A2D7522">
            <wp:extent cx="5760720" cy="995680"/>
            <wp:effectExtent l="0" t="0" r="0"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logo.jpg"/>
                    <pic:cNvPicPr/>
                  </pic:nvPicPr>
                  <pic:blipFill>
                    <a:blip r:embed="rId7">
                      <a:extLst>
                        <a:ext uri="{28A0092B-C50C-407E-A947-70E740481C1C}">
                          <a14:useLocalDpi xmlns:a14="http://schemas.microsoft.com/office/drawing/2010/main" val="0"/>
                        </a:ext>
                      </a:extLst>
                    </a:blip>
                    <a:stretch>
                      <a:fillRect/>
                    </a:stretch>
                  </pic:blipFill>
                  <pic:spPr>
                    <a:xfrm>
                      <a:off x="0" y="0"/>
                      <a:ext cx="5760720" cy="995680"/>
                    </a:xfrm>
                    <a:prstGeom prst="rect">
                      <a:avLst/>
                    </a:prstGeom>
                  </pic:spPr>
                </pic:pic>
              </a:graphicData>
            </a:graphic>
          </wp:inline>
        </w:drawing>
      </w:r>
    </w:p>
    <w:p w:rsidR="00FA5A39" w:rsidRPr="00C26655" w:rsidRDefault="00FA5A39" w:rsidP="005628E0">
      <w:pPr>
        <w:pStyle w:val="Pealkiri2"/>
        <w:rPr>
          <w:b/>
          <w:color w:val="0070C0"/>
          <w:sz w:val="32"/>
          <w:szCs w:val="32"/>
          <w:lang w:val="en-GB"/>
        </w:rPr>
      </w:pPr>
      <w:r w:rsidRPr="00C26655">
        <w:rPr>
          <w:b/>
          <w:color w:val="0070C0"/>
          <w:sz w:val="32"/>
          <w:szCs w:val="32"/>
          <w:lang w:val="en-GB"/>
        </w:rPr>
        <w:t>Baltic Research Programme funded under the EEA Grants (2014-2021)</w:t>
      </w:r>
    </w:p>
    <w:p w:rsidR="00DF1704" w:rsidRPr="00C26655" w:rsidRDefault="00A715FE" w:rsidP="005628E0">
      <w:pPr>
        <w:pStyle w:val="Pealkiri2"/>
        <w:rPr>
          <w:b/>
          <w:color w:val="0070C0"/>
          <w:sz w:val="32"/>
          <w:szCs w:val="32"/>
          <w:lang w:val="en-GB"/>
        </w:rPr>
      </w:pPr>
      <w:r w:rsidRPr="00C26655">
        <w:rPr>
          <w:b/>
          <w:color w:val="0070C0"/>
          <w:sz w:val="32"/>
          <w:szCs w:val="32"/>
          <w:lang w:val="en-GB"/>
        </w:rPr>
        <w:t>R</w:t>
      </w:r>
      <w:r w:rsidR="00C77321" w:rsidRPr="00C26655">
        <w:rPr>
          <w:b/>
          <w:color w:val="0070C0"/>
          <w:sz w:val="32"/>
          <w:szCs w:val="32"/>
          <w:lang w:val="en-GB"/>
        </w:rPr>
        <w:t xml:space="preserve">esults of </w:t>
      </w:r>
      <w:r w:rsidR="005A70FB" w:rsidRPr="00C26655">
        <w:rPr>
          <w:b/>
          <w:color w:val="0070C0"/>
          <w:sz w:val="32"/>
          <w:szCs w:val="32"/>
          <w:lang w:val="en-GB"/>
        </w:rPr>
        <w:t xml:space="preserve">the </w:t>
      </w:r>
      <w:r w:rsidR="00C77321" w:rsidRPr="00C26655">
        <w:rPr>
          <w:b/>
          <w:color w:val="0070C0"/>
          <w:sz w:val="32"/>
          <w:szCs w:val="32"/>
          <w:lang w:val="en-GB"/>
        </w:rPr>
        <w:t>Estonian call 2018/2019</w:t>
      </w:r>
      <w:r w:rsidR="00FA5A39" w:rsidRPr="00C26655">
        <w:rPr>
          <w:b/>
          <w:color w:val="0070C0"/>
          <w:sz w:val="32"/>
          <w:szCs w:val="32"/>
          <w:lang w:val="en-GB"/>
        </w:rPr>
        <w:t xml:space="preserve"> </w:t>
      </w:r>
    </w:p>
    <w:p w:rsidR="005628E0" w:rsidRPr="00C26655" w:rsidRDefault="005628E0" w:rsidP="00C77321">
      <w:pPr>
        <w:rPr>
          <w:rFonts w:asciiTheme="majorHAnsi" w:hAnsiTheme="majorHAnsi" w:cstheme="majorHAnsi"/>
          <w:color w:val="0070C0"/>
          <w:sz w:val="32"/>
          <w:szCs w:val="32"/>
          <w:lang w:val="en-GB"/>
        </w:rPr>
      </w:pPr>
    </w:p>
    <w:p w:rsidR="00FA5A39" w:rsidRPr="00FA5A39" w:rsidRDefault="00FA5A39" w:rsidP="00C77321">
      <w:pPr>
        <w:rPr>
          <w:rFonts w:asciiTheme="majorHAnsi" w:hAnsiTheme="majorHAnsi" w:cstheme="majorHAnsi"/>
          <w:lang w:val="en-GB"/>
        </w:rPr>
      </w:pPr>
      <w:r w:rsidRPr="00FA5A39">
        <w:rPr>
          <w:rFonts w:asciiTheme="majorHAnsi" w:hAnsiTheme="majorHAnsi" w:cstheme="majorHAnsi"/>
          <w:lang w:val="en-GB"/>
        </w:rPr>
        <w:t xml:space="preserve">By </w:t>
      </w:r>
      <w:r>
        <w:rPr>
          <w:rFonts w:asciiTheme="majorHAnsi" w:hAnsiTheme="majorHAnsi" w:cstheme="majorHAnsi"/>
          <w:lang w:val="en-GB"/>
        </w:rPr>
        <w:t xml:space="preserve">the </w:t>
      </w:r>
      <w:r w:rsidRPr="00FA5A39">
        <w:rPr>
          <w:rFonts w:asciiTheme="majorHAnsi" w:hAnsiTheme="majorHAnsi" w:cstheme="majorHAnsi"/>
          <w:lang w:val="en-GB"/>
        </w:rPr>
        <w:t>deadline of 31 January 2019,</w:t>
      </w:r>
      <w:r w:rsidR="00671F9B" w:rsidRPr="00FA5A39">
        <w:rPr>
          <w:rFonts w:asciiTheme="majorHAnsi" w:hAnsiTheme="majorHAnsi" w:cstheme="majorHAnsi"/>
          <w:lang w:val="en-GB"/>
        </w:rPr>
        <w:t xml:space="preserve"> </w:t>
      </w:r>
      <w:r w:rsidR="00C77321" w:rsidRPr="00E2500E">
        <w:rPr>
          <w:rFonts w:asciiTheme="majorHAnsi" w:hAnsiTheme="majorHAnsi" w:cstheme="majorHAnsi"/>
          <w:lang w:val="en-GB"/>
        </w:rPr>
        <w:t>130</w:t>
      </w:r>
      <w:r w:rsidR="00C77321" w:rsidRPr="00FA5A39">
        <w:rPr>
          <w:rFonts w:asciiTheme="majorHAnsi" w:hAnsiTheme="majorHAnsi" w:cstheme="majorHAnsi"/>
          <w:b/>
          <w:lang w:val="en-GB"/>
        </w:rPr>
        <w:t xml:space="preserve"> </w:t>
      </w:r>
      <w:r w:rsidR="00C77321" w:rsidRPr="00FA5A39">
        <w:rPr>
          <w:rFonts w:asciiTheme="majorHAnsi" w:hAnsiTheme="majorHAnsi" w:cstheme="majorHAnsi"/>
          <w:lang w:val="en-GB"/>
        </w:rPr>
        <w:t>proposals were submitted</w:t>
      </w:r>
      <w:r w:rsidRPr="00FA5A39">
        <w:rPr>
          <w:rFonts w:asciiTheme="majorHAnsi" w:hAnsiTheme="majorHAnsi" w:cstheme="majorHAnsi"/>
          <w:lang w:val="en-GB"/>
        </w:rPr>
        <w:t>.</w:t>
      </w:r>
      <w:r w:rsidR="00C77321" w:rsidRPr="00FA5A39">
        <w:rPr>
          <w:rFonts w:asciiTheme="majorHAnsi" w:hAnsiTheme="majorHAnsi" w:cstheme="majorHAnsi"/>
          <w:lang w:val="en-GB"/>
        </w:rPr>
        <w:t xml:space="preserve"> </w:t>
      </w:r>
    </w:p>
    <w:p w:rsidR="00FA5A39" w:rsidRPr="00FA5A39" w:rsidRDefault="00FA5A39" w:rsidP="00C77321">
      <w:pPr>
        <w:rPr>
          <w:rFonts w:asciiTheme="majorHAnsi" w:hAnsiTheme="majorHAnsi" w:cstheme="majorHAnsi"/>
          <w:b/>
          <w:lang w:val="en-GB"/>
        </w:rPr>
      </w:pPr>
    </w:p>
    <w:p w:rsidR="00FA5A39" w:rsidRPr="00FE02DE" w:rsidRDefault="00FA5A39" w:rsidP="00C77321">
      <w:pPr>
        <w:rPr>
          <w:rFonts w:asciiTheme="majorHAnsi" w:hAnsiTheme="majorHAnsi" w:cstheme="majorHAnsi"/>
          <w:b/>
          <w:lang w:val="en-GB"/>
        </w:rPr>
      </w:pPr>
      <w:r w:rsidRPr="00FE02DE">
        <w:rPr>
          <w:rFonts w:asciiTheme="majorHAnsi" w:hAnsiTheme="majorHAnsi" w:cstheme="majorHAnsi"/>
          <w:b/>
          <w:lang w:val="en-GB"/>
        </w:rPr>
        <w:t xml:space="preserve">Table 1. Number of proposals and amount of project grant applied by Project Promoter </w:t>
      </w:r>
    </w:p>
    <w:p w:rsidR="00114F22" w:rsidRPr="00275961" w:rsidRDefault="00114F22" w:rsidP="00C77321">
      <w:pPr>
        <w:rPr>
          <w:rFonts w:asciiTheme="majorHAnsi" w:hAnsiTheme="majorHAnsi" w:cstheme="majorHAnsi"/>
          <w:lang w:val="en-GB"/>
        </w:rPr>
      </w:pPr>
    </w:p>
    <w:tbl>
      <w:tblPr>
        <w:tblW w:w="9067" w:type="dxa"/>
        <w:tblCellMar>
          <w:left w:w="70" w:type="dxa"/>
          <w:right w:w="70" w:type="dxa"/>
        </w:tblCellMar>
        <w:tblLook w:val="04A0" w:firstRow="1" w:lastRow="0" w:firstColumn="1" w:lastColumn="0" w:noHBand="0" w:noVBand="1"/>
      </w:tblPr>
      <w:tblGrid>
        <w:gridCol w:w="5520"/>
        <w:gridCol w:w="1279"/>
        <w:gridCol w:w="2268"/>
      </w:tblGrid>
      <w:tr w:rsidR="00FA5A39" w:rsidRPr="00FE02DE" w:rsidTr="00114F22">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A39" w:rsidRPr="001C72CD" w:rsidRDefault="00FA5A39" w:rsidP="00142464">
            <w:pPr>
              <w:rPr>
                <w:rFonts w:asciiTheme="majorHAnsi" w:eastAsia="Times New Roman" w:hAnsiTheme="majorHAnsi" w:cstheme="majorHAnsi"/>
                <w:b/>
                <w:bCs/>
                <w:color w:val="000000"/>
                <w:lang w:val="en-GB" w:eastAsia="et-EE"/>
              </w:rPr>
            </w:pPr>
            <w:r w:rsidRPr="001C72CD">
              <w:rPr>
                <w:rFonts w:asciiTheme="majorHAnsi" w:eastAsia="Times New Roman" w:hAnsiTheme="majorHAnsi" w:cstheme="majorHAnsi"/>
                <w:b/>
                <w:bCs/>
                <w:color w:val="000000"/>
                <w:lang w:val="en-GB" w:eastAsia="et-EE"/>
              </w:rPr>
              <w:t>Institution (Project Promoter)</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FA5A39" w:rsidRPr="001C72CD" w:rsidRDefault="00114F22" w:rsidP="00142464">
            <w:pPr>
              <w:rPr>
                <w:rFonts w:asciiTheme="majorHAnsi" w:eastAsia="Times New Roman" w:hAnsiTheme="majorHAnsi" w:cstheme="majorHAnsi"/>
                <w:b/>
                <w:bCs/>
                <w:color w:val="000000"/>
                <w:lang w:val="en-GB" w:eastAsia="et-EE"/>
              </w:rPr>
            </w:pPr>
            <w:r w:rsidRPr="001C72CD">
              <w:rPr>
                <w:rFonts w:asciiTheme="majorHAnsi" w:eastAsia="Times New Roman" w:hAnsiTheme="majorHAnsi" w:cstheme="majorHAnsi"/>
                <w:b/>
                <w:bCs/>
                <w:color w:val="000000"/>
                <w:lang w:val="en-GB" w:eastAsia="et-EE"/>
              </w:rPr>
              <w:t xml:space="preserve">     </w:t>
            </w:r>
            <w:r w:rsidR="00FA5A39" w:rsidRPr="001C72CD">
              <w:rPr>
                <w:rFonts w:asciiTheme="majorHAnsi" w:eastAsia="Times New Roman" w:hAnsiTheme="majorHAnsi" w:cstheme="majorHAnsi"/>
                <w:b/>
                <w:bCs/>
                <w:color w:val="000000"/>
                <w:lang w:val="en-GB" w:eastAsia="et-EE"/>
              </w:rPr>
              <w:t>Proposals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A5A39" w:rsidRPr="001C72CD" w:rsidRDefault="00114F22" w:rsidP="00FA5A39">
            <w:pPr>
              <w:rPr>
                <w:rFonts w:asciiTheme="majorHAnsi" w:eastAsia="Times New Roman" w:hAnsiTheme="majorHAnsi" w:cstheme="majorHAnsi"/>
                <w:b/>
                <w:bCs/>
                <w:color w:val="000000"/>
                <w:lang w:val="en-GB" w:eastAsia="et-EE"/>
              </w:rPr>
            </w:pPr>
            <w:r w:rsidRPr="001C72CD">
              <w:rPr>
                <w:rFonts w:asciiTheme="majorHAnsi" w:eastAsia="Times New Roman" w:hAnsiTheme="majorHAnsi" w:cstheme="majorHAnsi"/>
                <w:b/>
                <w:bCs/>
                <w:color w:val="000000"/>
                <w:lang w:val="en-GB" w:eastAsia="et-EE"/>
              </w:rPr>
              <w:t xml:space="preserve">             </w:t>
            </w:r>
            <w:r w:rsidR="00FA5A39" w:rsidRPr="001C72CD">
              <w:rPr>
                <w:rFonts w:asciiTheme="majorHAnsi" w:eastAsia="Times New Roman" w:hAnsiTheme="majorHAnsi" w:cstheme="majorHAnsi"/>
                <w:b/>
                <w:bCs/>
                <w:color w:val="000000"/>
                <w:lang w:val="en-GB" w:eastAsia="et-EE"/>
              </w:rPr>
              <w:t>Applied funding</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University of Tartu</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60</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52 943 266,40</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TalTech</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42</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36 372 045,79</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Estonian University of Life Sciences</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8</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6 999 910,31</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FA5A39">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Tallinn University</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8</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7 663 867,07</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National Institute of Chemical Physics and Biophysics</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3</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2 927 500,00</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National Institute for Health Development</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3</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2 367 240,83</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Competence Center of Food and Fermentation Technologies</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999 235,00</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Cybernetica AS</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997 461,25</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Estonian Literary Museum</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979 152,74</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Estonian Academy of Arts</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794 500,00</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 xml:space="preserve">Estonian Business School </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697 862,35</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Tartu University Hospital</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800 000,00</w:t>
            </w:r>
          </w:p>
        </w:tc>
      </w:tr>
      <w:tr w:rsidR="00FA5A39" w:rsidRPr="00FE02DE" w:rsidTr="00114F2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FA5A39">
            <w:pPr>
              <w:jc w:val="right"/>
              <w:rPr>
                <w:rFonts w:asciiTheme="majorHAnsi" w:eastAsia="Times New Roman" w:hAnsiTheme="majorHAnsi" w:cstheme="majorHAnsi"/>
                <w:bCs/>
                <w:color w:val="000000"/>
                <w:lang w:val="en-GB" w:eastAsia="et-EE"/>
              </w:rPr>
            </w:pPr>
            <w:r w:rsidRPr="00FE02DE">
              <w:rPr>
                <w:rFonts w:asciiTheme="majorHAnsi" w:eastAsia="Times New Roman" w:hAnsiTheme="majorHAnsi" w:cstheme="majorHAnsi"/>
                <w:bCs/>
                <w:color w:val="000000"/>
                <w:lang w:val="en-GB" w:eastAsia="et-EE"/>
              </w:rPr>
              <w:t>Total</w:t>
            </w:r>
          </w:p>
        </w:tc>
        <w:tc>
          <w:tcPr>
            <w:tcW w:w="1279"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bCs/>
                <w:color w:val="000000"/>
                <w:lang w:val="en-GB" w:eastAsia="et-EE"/>
              </w:rPr>
            </w:pPr>
            <w:r w:rsidRPr="00FE02DE">
              <w:rPr>
                <w:rFonts w:asciiTheme="majorHAnsi" w:eastAsia="Times New Roman" w:hAnsiTheme="majorHAnsi" w:cstheme="majorHAnsi"/>
                <w:bCs/>
                <w:color w:val="000000"/>
                <w:lang w:val="en-GB" w:eastAsia="et-EE"/>
              </w:rPr>
              <w:t>130</w:t>
            </w:r>
          </w:p>
        </w:tc>
        <w:tc>
          <w:tcPr>
            <w:tcW w:w="2268"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bCs/>
                <w:color w:val="000000"/>
                <w:lang w:val="en-GB" w:eastAsia="et-EE"/>
              </w:rPr>
            </w:pPr>
            <w:r w:rsidRPr="00FE02DE">
              <w:rPr>
                <w:rFonts w:asciiTheme="majorHAnsi" w:eastAsia="Times New Roman" w:hAnsiTheme="majorHAnsi" w:cstheme="majorHAnsi"/>
                <w:bCs/>
                <w:color w:val="000000"/>
                <w:lang w:val="en-GB" w:eastAsia="et-EE"/>
              </w:rPr>
              <w:t>114 542 041,74</w:t>
            </w:r>
          </w:p>
        </w:tc>
      </w:tr>
    </w:tbl>
    <w:p w:rsidR="00FA5A39" w:rsidRPr="00FE02DE" w:rsidRDefault="00FA5A39" w:rsidP="00C77321">
      <w:pPr>
        <w:rPr>
          <w:rFonts w:asciiTheme="majorHAnsi" w:hAnsiTheme="majorHAnsi" w:cstheme="majorHAnsi"/>
          <w:lang w:val="en-GB"/>
        </w:rPr>
      </w:pPr>
    </w:p>
    <w:p w:rsidR="00FA5A39" w:rsidRPr="00E2500E" w:rsidRDefault="00FA5A39" w:rsidP="00E2500E">
      <w:pPr>
        <w:jc w:val="both"/>
        <w:rPr>
          <w:rFonts w:asciiTheme="majorHAnsi" w:eastAsia="Times New Roman" w:hAnsiTheme="majorHAnsi" w:cstheme="majorHAnsi"/>
          <w:lang w:val="en-GB"/>
        </w:rPr>
      </w:pPr>
      <w:r w:rsidRPr="00E2500E">
        <w:rPr>
          <w:rFonts w:asciiTheme="majorHAnsi" w:eastAsia="Times New Roman" w:hAnsiTheme="majorHAnsi" w:cstheme="majorHAnsi"/>
          <w:lang w:val="en-GB"/>
        </w:rPr>
        <w:t xml:space="preserve">Out of the 130 applications, 46% were submitted by the University of Tartu, 32% by the TalTech, 6% by the Estonian University of Life Sciences and the Tallinn University, and the rest of 10% by the other </w:t>
      </w:r>
      <w:r w:rsidR="00114F22">
        <w:rPr>
          <w:rFonts w:asciiTheme="majorHAnsi" w:eastAsia="Times New Roman" w:hAnsiTheme="majorHAnsi" w:cstheme="majorHAnsi"/>
          <w:lang w:val="en-GB"/>
        </w:rPr>
        <w:t>research</w:t>
      </w:r>
      <w:r w:rsidRPr="00E2500E">
        <w:rPr>
          <w:rFonts w:asciiTheme="majorHAnsi" w:eastAsia="Times New Roman" w:hAnsiTheme="majorHAnsi" w:cstheme="majorHAnsi"/>
          <w:lang w:val="en-GB"/>
        </w:rPr>
        <w:t xml:space="preserve"> institutions.</w:t>
      </w:r>
    </w:p>
    <w:p w:rsidR="00FA5A39" w:rsidRPr="00E2500E" w:rsidRDefault="00FA5A39" w:rsidP="00E2500E">
      <w:pPr>
        <w:jc w:val="both"/>
        <w:rPr>
          <w:rFonts w:asciiTheme="majorHAnsi" w:hAnsiTheme="majorHAnsi" w:cstheme="majorHAnsi"/>
          <w:lang w:val="en-GB"/>
        </w:rPr>
      </w:pPr>
      <w:r w:rsidRPr="00E2500E">
        <w:rPr>
          <w:rFonts w:asciiTheme="majorHAnsi" w:eastAsia="Times New Roman" w:hAnsiTheme="majorHAnsi" w:cstheme="majorHAnsi"/>
          <w:lang w:val="en-GB"/>
        </w:rPr>
        <w:t xml:space="preserve">The smallest </w:t>
      </w:r>
      <w:r w:rsidRPr="00FE02DE">
        <w:rPr>
          <w:rFonts w:asciiTheme="majorHAnsi" w:eastAsia="Times New Roman" w:hAnsiTheme="majorHAnsi" w:cstheme="majorHAnsi"/>
          <w:lang w:val="en-GB"/>
        </w:rPr>
        <w:t xml:space="preserve">applied </w:t>
      </w:r>
      <w:r w:rsidR="00114F22" w:rsidRPr="00FE02DE">
        <w:rPr>
          <w:rFonts w:asciiTheme="majorHAnsi" w:eastAsia="Times New Roman" w:hAnsiTheme="majorHAnsi" w:cstheme="majorHAnsi"/>
          <w:lang w:val="en-GB"/>
        </w:rPr>
        <w:t>amount of grant</w:t>
      </w:r>
      <w:r w:rsidRPr="00FE02DE">
        <w:rPr>
          <w:rFonts w:asciiTheme="majorHAnsi" w:eastAsia="Times New Roman" w:hAnsiTheme="majorHAnsi" w:cstheme="majorHAnsi"/>
          <w:lang w:val="en-GB"/>
        </w:rPr>
        <w:t xml:space="preserve"> </w:t>
      </w:r>
      <w:r w:rsidRPr="00E2500E">
        <w:rPr>
          <w:rFonts w:asciiTheme="majorHAnsi" w:eastAsia="Times New Roman" w:hAnsiTheme="majorHAnsi" w:cstheme="majorHAnsi"/>
          <w:lang w:val="en-GB"/>
        </w:rPr>
        <w:t xml:space="preserve">was 399,375 EUR, the biggest 1,127,500 EUR and the </w:t>
      </w:r>
      <w:r w:rsidR="00273899" w:rsidRPr="00E2500E">
        <w:rPr>
          <w:rFonts w:asciiTheme="majorHAnsi" w:eastAsia="Times New Roman" w:hAnsiTheme="majorHAnsi" w:cstheme="majorHAnsi"/>
          <w:lang w:val="en-GB"/>
        </w:rPr>
        <w:t xml:space="preserve">average </w:t>
      </w:r>
      <w:r w:rsidR="00273899">
        <w:rPr>
          <w:rFonts w:asciiTheme="majorHAnsi" w:eastAsia="Times New Roman" w:hAnsiTheme="majorHAnsi" w:cstheme="majorHAnsi"/>
          <w:lang w:val="en-GB"/>
        </w:rPr>
        <w:t>was</w:t>
      </w:r>
      <w:r w:rsidRPr="00E2500E">
        <w:rPr>
          <w:rFonts w:asciiTheme="majorHAnsi" w:eastAsia="Times New Roman" w:hAnsiTheme="majorHAnsi" w:cstheme="majorHAnsi"/>
          <w:lang w:val="en-GB"/>
        </w:rPr>
        <w:t xml:space="preserve"> 881,093 EUR. Total amount of applied funding was 114,542,041 EUR. Available </w:t>
      </w:r>
      <w:r w:rsidR="00273899">
        <w:rPr>
          <w:rFonts w:asciiTheme="majorHAnsi" w:eastAsia="Times New Roman" w:hAnsiTheme="majorHAnsi" w:cstheme="majorHAnsi"/>
          <w:lang w:val="en-GB"/>
        </w:rPr>
        <w:t xml:space="preserve">total </w:t>
      </w:r>
      <w:r w:rsidRPr="00E2500E">
        <w:rPr>
          <w:rFonts w:asciiTheme="majorHAnsi" w:eastAsia="Times New Roman" w:hAnsiTheme="majorHAnsi" w:cstheme="majorHAnsi"/>
          <w:lang w:val="en-GB"/>
        </w:rPr>
        <w:t xml:space="preserve">budget </w:t>
      </w:r>
      <w:r w:rsidRPr="00E2500E">
        <w:rPr>
          <w:rFonts w:asciiTheme="majorHAnsi" w:hAnsiTheme="majorHAnsi" w:cstheme="majorHAnsi"/>
          <w:lang w:val="en-GB"/>
        </w:rPr>
        <w:t>for this call is 6 MEUR.</w:t>
      </w:r>
    </w:p>
    <w:p w:rsidR="00FA5A39" w:rsidRPr="00E2500E" w:rsidRDefault="00FA5A39" w:rsidP="00E2500E">
      <w:pPr>
        <w:jc w:val="both"/>
        <w:rPr>
          <w:rFonts w:asciiTheme="majorHAnsi" w:eastAsia="Times New Roman" w:hAnsiTheme="majorHAnsi" w:cstheme="majorHAnsi"/>
          <w:lang w:val="en-GB"/>
        </w:rPr>
      </w:pPr>
    </w:p>
    <w:p w:rsidR="00FA5A39" w:rsidRDefault="00FA5A39" w:rsidP="00FA5A39">
      <w:pPr>
        <w:rPr>
          <w:rFonts w:asciiTheme="majorHAnsi" w:eastAsia="Times New Roman" w:hAnsiTheme="majorHAnsi" w:cstheme="majorHAnsi"/>
          <w:lang w:val="en-GB"/>
        </w:rPr>
      </w:pPr>
      <w:r w:rsidRPr="00FE02DE">
        <w:rPr>
          <w:rFonts w:asciiTheme="majorHAnsi" w:eastAsia="Times New Roman" w:hAnsiTheme="majorHAnsi" w:cstheme="majorHAnsi"/>
          <w:b/>
          <w:lang w:val="en-GB"/>
        </w:rPr>
        <w:t>Table 2. Number of proposals based on</w:t>
      </w:r>
      <w:r w:rsidRPr="00275961">
        <w:rPr>
          <w:rFonts w:asciiTheme="majorHAnsi" w:eastAsia="Times New Roman" w:hAnsiTheme="majorHAnsi" w:cstheme="majorHAnsi"/>
          <w:lang w:val="en-GB"/>
        </w:rPr>
        <w:t xml:space="preserve"> </w:t>
      </w:r>
      <w:r w:rsidRPr="00114F22">
        <w:rPr>
          <w:rFonts w:asciiTheme="majorHAnsi" w:eastAsia="Times New Roman" w:hAnsiTheme="majorHAnsi" w:cstheme="majorHAnsi"/>
          <w:b/>
          <w:lang w:val="en-GB"/>
        </w:rPr>
        <w:t>duration of project</w:t>
      </w:r>
    </w:p>
    <w:p w:rsidR="00114F22" w:rsidRPr="00275961" w:rsidRDefault="00114F22" w:rsidP="00FA5A39">
      <w:pPr>
        <w:rPr>
          <w:rFonts w:asciiTheme="majorHAnsi" w:eastAsia="Times New Roman" w:hAnsiTheme="majorHAnsi" w:cstheme="majorHAnsi"/>
          <w:lang w:val="en-GB"/>
        </w:rPr>
      </w:pPr>
    </w:p>
    <w:tbl>
      <w:tblPr>
        <w:tblW w:w="4673" w:type="dxa"/>
        <w:tblCellMar>
          <w:left w:w="70" w:type="dxa"/>
          <w:right w:w="70" w:type="dxa"/>
        </w:tblCellMar>
        <w:tblLook w:val="04A0" w:firstRow="1" w:lastRow="0" w:firstColumn="1" w:lastColumn="0" w:noHBand="0" w:noVBand="1"/>
      </w:tblPr>
      <w:tblGrid>
        <w:gridCol w:w="3539"/>
        <w:gridCol w:w="1134"/>
      </w:tblGrid>
      <w:tr w:rsidR="00FA5A39" w:rsidRPr="00FE02DE" w:rsidTr="00FA5A39">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A39" w:rsidRPr="001C72CD" w:rsidRDefault="00FA5A39" w:rsidP="00142464">
            <w:pPr>
              <w:rPr>
                <w:rFonts w:asciiTheme="majorHAnsi" w:eastAsia="Times New Roman" w:hAnsiTheme="majorHAnsi" w:cstheme="majorHAnsi"/>
                <w:b/>
                <w:color w:val="000000"/>
                <w:lang w:val="en-GB" w:eastAsia="et-EE"/>
              </w:rPr>
            </w:pPr>
            <w:r w:rsidRPr="001C72CD">
              <w:rPr>
                <w:rFonts w:asciiTheme="majorHAnsi" w:eastAsia="Times New Roman" w:hAnsiTheme="majorHAnsi" w:cstheme="majorHAnsi"/>
                <w:b/>
                <w:color w:val="000000"/>
                <w:lang w:val="en-GB" w:eastAsia="et-EE"/>
              </w:rPr>
              <w:t>Duration of project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A39" w:rsidRPr="001C72CD" w:rsidRDefault="00FA5A39" w:rsidP="00142464">
            <w:pPr>
              <w:rPr>
                <w:rFonts w:asciiTheme="majorHAnsi" w:eastAsia="Times New Roman" w:hAnsiTheme="majorHAnsi" w:cstheme="majorHAnsi"/>
                <w:b/>
                <w:color w:val="000000"/>
                <w:lang w:val="en-GB" w:eastAsia="et-EE"/>
              </w:rPr>
            </w:pPr>
            <w:r w:rsidRPr="001C72CD">
              <w:rPr>
                <w:rFonts w:asciiTheme="majorHAnsi" w:eastAsia="Times New Roman" w:hAnsiTheme="majorHAnsi" w:cstheme="majorHAnsi"/>
                <w:b/>
                <w:color w:val="000000"/>
                <w:lang w:val="en-GB" w:eastAsia="et-EE"/>
              </w:rPr>
              <w:t>Proposals</w:t>
            </w:r>
          </w:p>
        </w:tc>
      </w:tr>
      <w:tr w:rsidR="00FA5A39" w:rsidRPr="00FE02DE" w:rsidTr="00FA5A39">
        <w:trPr>
          <w:trHeight w:val="283"/>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FA5A39">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2  years</w:t>
            </w:r>
          </w:p>
        </w:tc>
        <w:tc>
          <w:tcPr>
            <w:tcW w:w="1134"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w:t>
            </w:r>
          </w:p>
        </w:tc>
      </w:tr>
      <w:tr w:rsidR="00FA5A39" w:rsidRPr="00FE02DE" w:rsidTr="00FA5A39">
        <w:trPr>
          <w:trHeight w:val="283"/>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3 years</w:t>
            </w:r>
          </w:p>
        </w:tc>
        <w:tc>
          <w:tcPr>
            <w:tcW w:w="1134"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48</w:t>
            </w:r>
          </w:p>
        </w:tc>
      </w:tr>
      <w:tr w:rsidR="00FA5A39" w:rsidRPr="00FE02DE" w:rsidTr="00FA5A39">
        <w:trPr>
          <w:trHeight w:val="283"/>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FA5A39">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3 years 1 month - 3 years 4 months</w:t>
            </w:r>
          </w:p>
        </w:tc>
        <w:tc>
          <w:tcPr>
            <w:tcW w:w="1134"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8</w:t>
            </w:r>
          </w:p>
        </w:tc>
      </w:tr>
      <w:tr w:rsidR="00FA5A39" w:rsidRPr="00FE02DE" w:rsidTr="00FA5A39">
        <w:trPr>
          <w:trHeight w:val="283"/>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FA5A39">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3 years 6 months - 3 years 11 months</w:t>
            </w:r>
          </w:p>
        </w:tc>
        <w:tc>
          <w:tcPr>
            <w:tcW w:w="1134"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13</w:t>
            </w:r>
          </w:p>
        </w:tc>
      </w:tr>
      <w:tr w:rsidR="00FA5A39" w:rsidRPr="00FE02DE" w:rsidTr="00FA5A39">
        <w:trPr>
          <w:trHeight w:val="283"/>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FA5A39" w:rsidP="00FA5A39">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4 years</w:t>
            </w:r>
          </w:p>
        </w:tc>
        <w:tc>
          <w:tcPr>
            <w:tcW w:w="1134"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60</w:t>
            </w:r>
          </w:p>
        </w:tc>
      </w:tr>
      <w:tr w:rsidR="00FA5A39" w:rsidRPr="00FE02DE" w:rsidTr="00FA5A39">
        <w:trPr>
          <w:trHeight w:val="283"/>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FA5A39" w:rsidRPr="00FE02DE" w:rsidRDefault="001C72CD" w:rsidP="00142464">
            <w:pPr>
              <w:jc w:val="right"/>
              <w:rPr>
                <w:rFonts w:asciiTheme="majorHAnsi" w:eastAsia="Times New Roman" w:hAnsiTheme="majorHAnsi" w:cstheme="majorHAnsi"/>
                <w:color w:val="000000"/>
                <w:lang w:val="en-GB" w:eastAsia="et-EE"/>
              </w:rPr>
            </w:pPr>
            <w:r>
              <w:rPr>
                <w:rFonts w:asciiTheme="majorHAnsi" w:eastAsia="Times New Roman" w:hAnsiTheme="majorHAnsi" w:cstheme="majorHAnsi"/>
                <w:color w:val="000000"/>
                <w:lang w:val="en-GB" w:eastAsia="et-EE"/>
              </w:rPr>
              <w:t>T</w:t>
            </w:r>
            <w:r w:rsidR="00FA5A39" w:rsidRPr="00FE02DE">
              <w:rPr>
                <w:rFonts w:asciiTheme="majorHAnsi" w:eastAsia="Times New Roman" w:hAnsiTheme="majorHAnsi" w:cstheme="majorHAnsi"/>
                <w:color w:val="000000"/>
                <w:lang w:val="en-GB" w:eastAsia="et-EE"/>
              </w:rPr>
              <w:t>otal</w:t>
            </w:r>
          </w:p>
        </w:tc>
        <w:tc>
          <w:tcPr>
            <w:tcW w:w="1134" w:type="dxa"/>
            <w:tcBorders>
              <w:top w:val="nil"/>
              <w:left w:val="nil"/>
              <w:bottom w:val="single" w:sz="4" w:space="0" w:color="auto"/>
              <w:right w:val="single" w:sz="4" w:space="0" w:color="auto"/>
            </w:tcBorders>
            <w:shd w:val="clear" w:color="auto" w:fill="auto"/>
            <w:noWrap/>
            <w:vAlign w:val="bottom"/>
            <w:hideMark/>
          </w:tcPr>
          <w:p w:rsidR="00FA5A39" w:rsidRPr="00FE02DE" w:rsidRDefault="00FA5A39" w:rsidP="00142464">
            <w:pPr>
              <w:jc w:val="right"/>
              <w:rPr>
                <w:rFonts w:asciiTheme="majorHAnsi" w:eastAsia="Times New Roman" w:hAnsiTheme="majorHAnsi" w:cstheme="majorHAnsi"/>
                <w:color w:val="000000"/>
                <w:lang w:val="en-GB" w:eastAsia="et-EE"/>
              </w:rPr>
            </w:pPr>
            <w:r w:rsidRPr="00FE02DE">
              <w:rPr>
                <w:rFonts w:asciiTheme="majorHAnsi" w:eastAsia="Times New Roman" w:hAnsiTheme="majorHAnsi" w:cstheme="majorHAnsi"/>
                <w:color w:val="000000"/>
                <w:lang w:val="en-GB" w:eastAsia="et-EE"/>
              </w:rPr>
              <w:t>130</w:t>
            </w:r>
          </w:p>
        </w:tc>
      </w:tr>
    </w:tbl>
    <w:p w:rsidR="00FA5A39" w:rsidRPr="00FA5A39" w:rsidRDefault="00FA5A39" w:rsidP="00FA5A39">
      <w:pPr>
        <w:rPr>
          <w:rFonts w:asciiTheme="majorHAnsi" w:hAnsiTheme="majorHAnsi" w:cstheme="majorHAnsi"/>
          <w:lang w:val="en-GB"/>
        </w:rPr>
      </w:pPr>
    </w:p>
    <w:p w:rsidR="00FA5A39" w:rsidRPr="00FA5A39" w:rsidRDefault="00FA5A39" w:rsidP="00FA5A39">
      <w:pPr>
        <w:jc w:val="both"/>
        <w:rPr>
          <w:rFonts w:asciiTheme="majorHAnsi" w:eastAsia="Times New Roman" w:hAnsiTheme="majorHAnsi" w:cstheme="majorHAnsi"/>
          <w:lang w:val="en-GB"/>
        </w:rPr>
      </w:pPr>
      <w:r w:rsidRPr="00FA5A39">
        <w:rPr>
          <w:rFonts w:asciiTheme="majorHAnsi" w:hAnsiTheme="majorHAnsi" w:cstheme="majorHAnsi"/>
          <w:lang w:val="en-GB"/>
        </w:rPr>
        <w:t>Less than half of</w:t>
      </w:r>
      <w:r w:rsidR="00192235">
        <w:rPr>
          <w:rFonts w:asciiTheme="majorHAnsi" w:hAnsiTheme="majorHAnsi" w:cstheme="majorHAnsi"/>
          <w:lang w:val="en-GB"/>
        </w:rPr>
        <w:t xml:space="preserve"> the</w:t>
      </w:r>
      <w:r w:rsidRPr="00FA5A39">
        <w:rPr>
          <w:rFonts w:asciiTheme="majorHAnsi" w:hAnsiTheme="majorHAnsi" w:cstheme="majorHAnsi"/>
          <w:lang w:val="en-GB"/>
        </w:rPr>
        <w:t xml:space="preserve"> applicants have applied for funding for </w:t>
      </w:r>
      <w:r w:rsidR="00192235">
        <w:rPr>
          <w:rFonts w:asciiTheme="majorHAnsi" w:hAnsiTheme="majorHAnsi" w:cstheme="majorHAnsi"/>
          <w:lang w:val="en-GB"/>
        </w:rPr>
        <w:t xml:space="preserve">about </w:t>
      </w:r>
      <w:r w:rsidRPr="00FA5A39">
        <w:rPr>
          <w:rFonts w:asciiTheme="majorHAnsi" w:hAnsiTheme="majorHAnsi" w:cstheme="majorHAnsi"/>
          <w:lang w:val="en-GB"/>
        </w:rPr>
        <w:t xml:space="preserve">3 years, and more than half of applicants </w:t>
      </w:r>
      <w:r w:rsidR="00114F22">
        <w:rPr>
          <w:rFonts w:asciiTheme="majorHAnsi" w:hAnsiTheme="majorHAnsi" w:cstheme="majorHAnsi"/>
          <w:lang w:val="en-GB"/>
        </w:rPr>
        <w:t xml:space="preserve">applied </w:t>
      </w:r>
      <w:r w:rsidRPr="00FA5A39">
        <w:rPr>
          <w:rFonts w:asciiTheme="majorHAnsi" w:hAnsiTheme="majorHAnsi" w:cstheme="majorHAnsi"/>
          <w:lang w:val="en-GB"/>
        </w:rPr>
        <w:t>for</w:t>
      </w:r>
      <w:r w:rsidR="00192235">
        <w:rPr>
          <w:rFonts w:asciiTheme="majorHAnsi" w:hAnsiTheme="majorHAnsi" w:cstheme="majorHAnsi"/>
          <w:lang w:val="en-GB"/>
        </w:rPr>
        <w:t xml:space="preserve"> about</w:t>
      </w:r>
      <w:r w:rsidRPr="00FA5A39">
        <w:rPr>
          <w:rFonts w:asciiTheme="majorHAnsi" w:hAnsiTheme="majorHAnsi" w:cstheme="majorHAnsi"/>
          <w:lang w:val="en-GB"/>
        </w:rPr>
        <w:t xml:space="preserve"> 4 years. </w:t>
      </w:r>
    </w:p>
    <w:p w:rsidR="00E2500E" w:rsidRPr="00C26655" w:rsidRDefault="00E2500E" w:rsidP="00653325">
      <w:pPr>
        <w:pStyle w:val="Pealkiri2"/>
        <w:rPr>
          <w:b/>
          <w:color w:val="0070C0"/>
        </w:rPr>
      </w:pPr>
      <w:r w:rsidRPr="00C26655">
        <w:rPr>
          <w:b/>
          <w:color w:val="0070C0"/>
        </w:rPr>
        <w:lastRenderedPageBreak/>
        <w:t>Gender balance</w:t>
      </w:r>
    </w:p>
    <w:p w:rsidR="001C72CD" w:rsidRDefault="001C72CD" w:rsidP="00114F22">
      <w:pPr>
        <w:jc w:val="both"/>
        <w:rPr>
          <w:rFonts w:asciiTheme="majorHAnsi" w:eastAsia="Times New Roman" w:hAnsiTheme="majorHAnsi" w:cstheme="majorHAnsi"/>
          <w:lang w:val="en-GB"/>
        </w:rPr>
      </w:pPr>
    </w:p>
    <w:p w:rsidR="00114F22" w:rsidRDefault="00114F22" w:rsidP="00114F22">
      <w:pPr>
        <w:jc w:val="both"/>
        <w:rPr>
          <w:rFonts w:asciiTheme="majorHAnsi" w:eastAsia="Times New Roman" w:hAnsiTheme="majorHAnsi" w:cstheme="majorHAnsi"/>
          <w:lang w:val="en-GB"/>
        </w:rPr>
      </w:pPr>
      <w:r w:rsidRPr="00E2500E">
        <w:rPr>
          <w:rFonts w:asciiTheme="majorHAnsi" w:eastAsia="Times New Roman" w:hAnsiTheme="majorHAnsi" w:cstheme="majorHAnsi"/>
          <w:lang w:val="en-GB"/>
        </w:rPr>
        <w:t xml:space="preserve">Out of the 130 Principal Investigators, 84 </w:t>
      </w:r>
      <w:r>
        <w:rPr>
          <w:rFonts w:asciiTheme="majorHAnsi" w:eastAsia="Times New Roman" w:hAnsiTheme="majorHAnsi" w:cstheme="majorHAnsi"/>
          <w:lang w:val="en-GB"/>
        </w:rPr>
        <w:t>we</w:t>
      </w:r>
      <w:r w:rsidRPr="00E2500E">
        <w:rPr>
          <w:rFonts w:asciiTheme="majorHAnsi" w:eastAsia="Times New Roman" w:hAnsiTheme="majorHAnsi" w:cstheme="majorHAnsi"/>
          <w:lang w:val="en-GB"/>
        </w:rPr>
        <w:t>re male</w:t>
      </w:r>
      <w:r>
        <w:rPr>
          <w:rFonts w:asciiTheme="majorHAnsi" w:eastAsia="Times New Roman" w:hAnsiTheme="majorHAnsi" w:cstheme="majorHAnsi"/>
          <w:lang w:val="en-GB"/>
        </w:rPr>
        <w:t>s</w:t>
      </w:r>
      <w:r w:rsidRPr="00E2500E">
        <w:rPr>
          <w:rFonts w:asciiTheme="majorHAnsi" w:eastAsia="Times New Roman" w:hAnsiTheme="majorHAnsi" w:cstheme="majorHAnsi"/>
          <w:lang w:val="en-GB"/>
        </w:rPr>
        <w:t xml:space="preserve"> (65%) and 46 females (35%).</w:t>
      </w:r>
      <w:r>
        <w:rPr>
          <w:rFonts w:asciiTheme="majorHAnsi" w:eastAsia="Times New Roman" w:hAnsiTheme="majorHAnsi" w:cstheme="majorHAnsi"/>
          <w:lang w:val="en-GB"/>
        </w:rPr>
        <w:t xml:space="preserve"> </w:t>
      </w:r>
      <w:r w:rsidR="00BB40C9">
        <w:rPr>
          <w:rFonts w:asciiTheme="majorHAnsi" w:eastAsia="Times New Roman" w:hAnsiTheme="majorHAnsi" w:cstheme="majorHAnsi"/>
          <w:lang w:val="en-GB"/>
        </w:rPr>
        <w:t xml:space="preserve">Gender balance within the senior research team of Project Promoter: 270 (56%) males and 216 (44%) females.  </w:t>
      </w:r>
      <w:r w:rsidR="00F20E01">
        <w:rPr>
          <w:rFonts w:asciiTheme="majorHAnsi" w:eastAsia="Times New Roman" w:hAnsiTheme="majorHAnsi" w:cstheme="majorHAnsi"/>
          <w:lang w:val="en-GB"/>
        </w:rPr>
        <w:t xml:space="preserve">Considering the participation of </w:t>
      </w:r>
      <w:r w:rsidRPr="00E2500E">
        <w:rPr>
          <w:rFonts w:asciiTheme="majorHAnsi" w:eastAsia="Times New Roman" w:hAnsiTheme="majorHAnsi" w:cstheme="majorHAnsi"/>
          <w:lang w:val="en-GB"/>
        </w:rPr>
        <w:t>senior research staff</w:t>
      </w:r>
      <w:r w:rsidR="00F20E01">
        <w:rPr>
          <w:rFonts w:asciiTheme="majorHAnsi" w:eastAsia="Times New Roman" w:hAnsiTheme="majorHAnsi" w:cstheme="majorHAnsi"/>
          <w:lang w:val="en-GB"/>
        </w:rPr>
        <w:t>,</w:t>
      </w:r>
      <w:r w:rsidRPr="00E2500E">
        <w:rPr>
          <w:rFonts w:asciiTheme="majorHAnsi" w:eastAsia="Times New Roman" w:hAnsiTheme="majorHAnsi" w:cstheme="majorHAnsi"/>
          <w:lang w:val="en-GB"/>
        </w:rPr>
        <w:t xml:space="preserve"> the minimum </w:t>
      </w:r>
      <w:r w:rsidR="00F20E01">
        <w:rPr>
          <w:rFonts w:asciiTheme="majorHAnsi" w:eastAsia="Times New Roman" w:hAnsiTheme="majorHAnsi" w:cstheme="majorHAnsi"/>
          <w:lang w:val="en-GB"/>
        </w:rPr>
        <w:t>involvement</w:t>
      </w:r>
      <w:r>
        <w:rPr>
          <w:rFonts w:asciiTheme="majorHAnsi" w:eastAsia="Times New Roman" w:hAnsiTheme="majorHAnsi" w:cstheme="majorHAnsi"/>
          <w:lang w:val="en-GB"/>
        </w:rPr>
        <w:t xml:space="preserve"> wa</w:t>
      </w:r>
      <w:r w:rsidRPr="00E2500E">
        <w:rPr>
          <w:rFonts w:asciiTheme="majorHAnsi" w:eastAsia="Times New Roman" w:hAnsiTheme="majorHAnsi" w:cstheme="majorHAnsi"/>
          <w:lang w:val="en-GB"/>
        </w:rPr>
        <w:t>s 1</w:t>
      </w:r>
      <w:r>
        <w:rPr>
          <w:rFonts w:asciiTheme="majorHAnsi" w:eastAsia="Times New Roman" w:hAnsiTheme="majorHAnsi" w:cstheme="majorHAnsi"/>
          <w:lang w:val="en-GB"/>
        </w:rPr>
        <w:t xml:space="preserve"> researcher and</w:t>
      </w:r>
      <w:r w:rsidRPr="00E2500E">
        <w:rPr>
          <w:rFonts w:asciiTheme="majorHAnsi" w:eastAsia="Times New Roman" w:hAnsiTheme="majorHAnsi" w:cstheme="majorHAnsi"/>
          <w:lang w:val="en-GB"/>
        </w:rPr>
        <w:t xml:space="preserve"> the maximum </w:t>
      </w:r>
      <w:r w:rsidR="00F20E01">
        <w:rPr>
          <w:rFonts w:asciiTheme="majorHAnsi" w:eastAsia="Times New Roman" w:hAnsiTheme="majorHAnsi" w:cstheme="majorHAnsi"/>
          <w:lang w:val="en-GB"/>
        </w:rPr>
        <w:t xml:space="preserve">one </w:t>
      </w:r>
      <w:r w:rsidRPr="00E2500E">
        <w:rPr>
          <w:rFonts w:asciiTheme="majorHAnsi" w:eastAsia="Times New Roman" w:hAnsiTheme="majorHAnsi" w:cstheme="majorHAnsi"/>
          <w:lang w:val="en-GB"/>
        </w:rPr>
        <w:t xml:space="preserve">12 </w:t>
      </w:r>
      <w:r>
        <w:rPr>
          <w:rFonts w:asciiTheme="majorHAnsi" w:eastAsia="Times New Roman" w:hAnsiTheme="majorHAnsi" w:cstheme="majorHAnsi"/>
          <w:lang w:val="en-GB"/>
        </w:rPr>
        <w:t xml:space="preserve">researchers. On average, </w:t>
      </w:r>
      <w:r w:rsidRPr="00E2500E">
        <w:rPr>
          <w:rFonts w:asciiTheme="majorHAnsi" w:eastAsia="Times New Roman" w:hAnsiTheme="majorHAnsi" w:cstheme="majorHAnsi"/>
          <w:lang w:val="en-GB"/>
        </w:rPr>
        <w:t xml:space="preserve">3 researchers </w:t>
      </w:r>
      <w:r w:rsidR="00F20E01">
        <w:rPr>
          <w:rFonts w:asciiTheme="majorHAnsi" w:eastAsia="Times New Roman" w:hAnsiTheme="majorHAnsi" w:cstheme="majorHAnsi"/>
          <w:lang w:val="en-GB"/>
        </w:rPr>
        <w:t xml:space="preserve">participated </w:t>
      </w:r>
      <w:r>
        <w:rPr>
          <w:rFonts w:asciiTheme="majorHAnsi" w:eastAsia="Times New Roman" w:hAnsiTheme="majorHAnsi" w:cstheme="majorHAnsi"/>
          <w:lang w:val="en-GB"/>
        </w:rPr>
        <w:t>in</w:t>
      </w:r>
      <w:r w:rsidRPr="00E2500E">
        <w:rPr>
          <w:rFonts w:asciiTheme="majorHAnsi" w:eastAsia="Times New Roman" w:hAnsiTheme="majorHAnsi" w:cstheme="majorHAnsi"/>
          <w:lang w:val="en-GB"/>
        </w:rPr>
        <w:t xml:space="preserve"> a project</w:t>
      </w:r>
      <w:r>
        <w:rPr>
          <w:rFonts w:asciiTheme="majorHAnsi" w:eastAsia="Times New Roman" w:hAnsiTheme="majorHAnsi" w:cstheme="majorHAnsi"/>
          <w:lang w:val="en-GB"/>
        </w:rPr>
        <w:t xml:space="preserve"> as</w:t>
      </w:r>
      <w:r w:rsidR="00F20E01">
        <w:rPr>
          <w:rFonts w:asciiTheme="majorHAnsi" w:eastAsia="Times New Roman" w:hAnsiTheme="majorHAnsi" w:cstheme="majorHAnsi"/>
          <w:lang w:val="en-GB"/>
        </w:rPr>
        <w:t xml:space="preserve"> </w:t>
      </w:r>
      <w:r>
        <w:rPr>
          <w:rFonts w:asciiTheme="majorHAnsi" w:eastAsia="Times New Roman" w:hAnsiTheme="majorHAnsi" w:cstheme="majorHAnsi"/>
          <w:lang w:val="en-GB"/>
        </w:rPr>
        <w:t>senior research staff</w:t>
      </w:r>
      <w:r w:rsidRPr="00E2500E">
        <w:rPr>
          <w:rFonts w:asciiTheme="majorHAnsi" w:eastAsia="Times New Roman" w:hAnsiTheme="majorHAnsi" w:cstheme="majorHAnsi"/>
          <w:lang w:val="en-GB"/>
        </w:rPr>
        <w:t xml:space="preserve">. </w:t>
      </w:r>
    </w:p>
    <w:p w:rsidR="00BB40C9" w:rsidRPr="00E2500E" w:rsidRDefault="00BB40C9" w:rsidP="00114F22">
      <w:pPr>
        <w:jc w:val="both"/>
        <w:rPr>
          <w:rFonts w:asciiTheme="majorHAnsi" w:eastAsia="Times New Roman" w:hAnsiTheme="majorHAnsi" w:cstheme="majorHAnsi"/>
          <w:lang w:val="en-GB"/>
        </w:rPr>
      </w:pPr>
    </w:p>
    <w:p w:rsidR="00FA5A39" w:rsidRPr="00FA5A39" w:rsidRDefault="00C02A3A" w:rsidP="00FA5A39">
      <w:pPr>
        <w:rPr>
          <w:rFonts w:asciiTheme="majorHAnsi" w:eastAsia="Times New Roman" w:hAnsiTheme="majorHAnsi" w:cstheme="majorHAnsi"/>
          <w:lang w:val="en-GB"/>
        </w:rPr>
      </w:pPr>
      <w:r>
        <w:rPr>
          <w:rFonts w:asciiTheme="majorHAnsi" w:eastAsia="Times New Roman" w:hAnsiTheme="majorHAnsi" w:cstheme="majorHAnsi"/>
          <w:noProof/>
          <w:lang w:eastAsia="et-EE"/>
        </w:rPr>
        <w:drawing>
          <wp:inline distT="0" distB="0" distL="0" distR="0">
            <wp:extent cx="4972050" cy="2619375"/>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5A39" w:rsidRPr="00FA5A39" w:rsidRDefault="00FA5A39" w:rsidP="00FA5A39">
      <w:pPr>
        <w:rPr>
          <w:rFonts w:asciiTheme="majorHAnsi" w:eastAsia="Times New Roman" w:hAnsiTheme="majorHAnsi" w:cstheme="majorHAnsi"/>
          <w:lang w:val="en-GB"/>
        </w:rPr>
      </w:pPr>
      <w:r w:rsidRPr="00FA5A39">
        <w:rPr>
          <w:rFonts w:asciiTheme="majorHAnsi" w:eastAsia="Times New Roman" w:hAnsiTheme="majorHAnsi" w:cstheme="majorHAnsi"/>
          <w:lang w:val="en-GB"/>
        </w:rPr>
        <w:t xml:space="preserve"> </w:t>
      </w:r>
    </w:p>
    <w:p w:rsidR="00FA5A39" w:rsidRDefault="00FA5A39" w:rsidP="00FA5A39">
      <w:pPr>
        <w:rPr>
          <w:rFonts w:eastAsia="Times New Roman"/>
          <w:lang w:val="en-GB"/>
        </w:rPr>
      </w:pPr>
    </w:p>
    <w:p w:rsidR="00392B6C" w:rsidRDefault="00392B6C" w:rsidP="00392B6C">
      <w:pPr>
        <w:rPr>
          <w:rFonts w:asciiTheme="majorHAnsi" w:eastAsia="Times New Roman" w:hAnsiTheme="majorHAnsi" w:cstheme="majorHAnsi"/>
          <w:b/>
          <w:lang w:val="en-GB"/>
        </w:rPr>
      </w:pPr>
      <w:r>
        <w:rPr>
          <w:rFonts w:asciiTheme="majorHAnsi" w:eastAsia="Times New Roman" w:hAnsiTheme="majorHAnsi" w:cstheme="majorHAnsi"/>
          <w:b/>
          <w:lang w:val="en-GB"/>
        </w:rPr>
        <w:t>Figure 1. Number of</w:t>
      </w:r>
      <w:r w:rsidRPr="00FE02DE">
        <w:rPr>
          <w:rFonts w:asciiTheme="majorHAnsi" w:eastAsia="Times New Roman" w:hAnsiTheme="majorHAnsi" w:cstheme="majorHAnsi"/>
          <w:b/>
          <w:lang w:val="en-GB"/>
        </w:rPr>
        <w:t xml:space="preserve"> male and female Principal Investigators (Project Promoter)</w:t>
      </w:r>
    </w:p>
    <w:p w:rsidR="001C72CD" w:rsidRDefault="001C72CD" w:rsidP="00392B6C">
      <w:pPr>
        <w:rPr>
          <w:rFonts w:asciiTheme="majorHAnsi" w:eastAsia="Times New Roman" w:hAnsiTheme="majorHAnsi" w:cstheme="majorHAnsi"/>
          <w:b/>
          <w:lang w:val="en-GB"/>
        </w:rPr>
      </w:pPr>
    </w:p>
    <w:p w:rsidR="00C02A3A" w:rsidRDefault="00C02A3A" w:rsidP="00392B6C">
      <w:pPr>
        <w:rPr>
          <w:rFonts w:asciiTheme="majorHAnsi" w:eastAsia="Times New Roman" w:hAnsiTheme="majorHAnsi" w:cstheme="majorHAnsi"/>
          <w:b/>
          <w:lang w:val="en-GB"/>
        </w:rPr>
      </w:pPr>
    </w:p>
    <w:p w:rsidR="00C02A3A" w:rsidRDefault="00C02A3A" w:rsidP="00392B6C">
      <w:pPr>
        <w:rPr>
          <w:rFonts w:asciiTheme="majorHAnsi" w:eastAsia="Times New Roman" w:hAnsiTheme="majorHAnsi" w:cstheme="majorHAnsi"/>
          <w:b/>
          <w:lang w:val="en-GB"/>
        </w:rPr>
      </w:pPr>
      <w:r>
        <w:rPr>
          <w:rFonts w:asciiTheme="majorHAnsi" w:eastAsia="Times New Roman" w:hAnsiTheme="majorHAnsi" w:cstheme="majorHAnsi"/>
          <w:b/>
          <w:noProof/>
          <w:lang w:eastAsia="et-EE"/>
        </w:rPr>
        <w:drawing>
          <wp:inline distT="0" distB="0" distL="0" distR="0">
            <wp:extent cx="4924425" cy="27813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2A3A" w:rsidRDefault="00C02A3A" w:rsidP="00392B6C">
      <w:pPr>
        <w:rPr>
          <w:rFonts w:asciiTheme="majorHAnsi" w:eastAsia="Times New Roman" w:hAnsiTheme="majorHAnsi" w:cstheme="majorHAnsi"/>
          <w:b/>
          <w:lang w:val="en-GB"/>
        </w:rPr>
      </w:pPr>
    </w:p>
    <w:p w:rsidR="00C02A3A" w:rsidRDefault="00C02A3A" w:rsidP="00392B6C">
      <w:pPr>
        <w:rPr>
          <w:rFonts w:asciiTheme="majorHAnsi" w:eastAsia="Times New Roman" w:hAnsiTheme="majorHAnsi" w:cstheme="majorHAnsi"/>
          <w:b/>
          <w:lang w:val="en-GB"/>
        </w:rPr>
      </w:pPr>
    </w:p>
    <w:p w:rsidR="00C02A3A" w:rsidRPr="00FE02DE" w:rsidRDefault="00C02A3A" w:rsidP="00392B6C">
      <w:pPr>
        <w:rPr>
          <w:rFonts w:asciiTheme="majorHAnsi" w:eastAsia="Times New Roman" w:hAnsiTheme="majorHAnsi" w:cstheme="majorHAnsi"/>
          <w:b/>
          <w:lang w:val="en-GB"/>
        </w:rPr>
      </w:pPr>
      <w:r>
        <w:rPr>
          <w:rFonts w:asciiTheme="majorHAnsi" w:eastAsia="Times New Roman" w:hAnsiTheme="majorHAnsi" w:cstheme="majorHAnsi"/>
          <w:b/>
          <w:lang w:val="en-GB"/>
        </w:rPr>
        <w:t xml:space="preserve">Figure 2. </w:t>
      </w:r>
      <w:r w:rsidR="00BB40C9">
        <w:rPr>
          <w:rFonts w:asciiTheme="majorHAnsi" w:eastAsia="Times New Roman" w:hAnsiTheme="majorHAnsi" w:cstheme="majorHAnsi"/>
          <w:b/>
          <w:lang w:val="en-GB"/>
        </w:rPr>
        <w:t>Gender balance in the senior research staff of Project Promoter</w:t>
      </w:r>
    </w:p>
    <w:p w:rsidR="00114F22" w:rsidRDefault="00114F22" w:rsidP="00E2500E">
      <w:pPr>
        <w:jc w:val="both"/>
        <w:rPr>
          <w:rFonts w:asciiTheme="majorHAnsi" w:eastAsia="Times New Roman" w:hAnsiTheme="majorHAnsi" w:cstheme="majorHAnsi"/>
          <w:lang w:val="en-GB" w:eastAsia="et-EE"/>
        </w:rPr>
      </w:pPr>
    </w:p>
    <w:p w:rsidR="001C72CD" w:rsidRPr="00C26655" w:rsidRDefault="001C72CD" w:rsidP="004A1299">
      <w:pPr>
        <w:pStyle w:val="Pealkiri2"/>
        <w:jc w:val="both"/>
        <w:rPr>
          <w:b/>
          <w:color w:val="0070C0"/>
          <w:lang w:val="en-GB"/>
        </w:rPr>
      </w:pPr>
    </w:p>
    <w:p w:rsidR="00FE02DE" w:rsidRPr="00C26655" w:rsidRDefault="00A11A96" w:rsidP="004A1299">
      <w:pPr>
        <w:pStyle w:val="Pealkiri2"/>
        <w:jc w:val="both"/>
        <w:rPr>
          <w:b/>
          <w:color w:val="0070C0"/>
          <w:lang w:val="en-GB"/>
        </w:rPr>
      </w:pPr>
      <w:r w:rsidRPr="00C26655">
        <w:rPr>
          <w:b/>
          <w:color w:val="0070C0"/>
          <w:lang w:val="en-GB"/>
        </w:rPr>
        <w:t xml:space="preserve">Areas and challenges of the call </w:t>
      </w:r>
    </w:p>
    <w:p w:rsidR="001C72CD" w:rsidRDefault="001C72CD" w:rsidP="004A1299">
      <w:pPr>
        <w:jc w:val="both"/>
        <w:rPr>
          <w:rFonts w:asciiTheme="majorHAnsi" w:hAnsiTheme="majorHAnsi" w:cstheme="majorHAnsi"/>
          <w:lang w:val="en-GB"/>
        </w:rPr>
      </w:pPr>
    </w:p>
    <w:p w:rsidR="00653325" w:rsidRDefault="004A1299" w:rsidP="004A1299">
      <w:pPr>
        <w:jc w:val="both"/>
        <w:rPr>
          <w:lang w:val="en-GB"/>
        </w:rPr>
      </w:pPr>
      <w:r w:rsidRPr="004A1299">
        <w:rPr>
          <w:rFonts w:asciiTheme="majorHAnsi" w:hAnsiTheme="majorHAnsi" w:cstheme="majorHAnsi"/>
          <w:lang w:val="en-GB"/>
        </w:rPr>
        <w:t>P</w:t>
      </w:r>
      <w:r w:rsidR="00A11A96" w:rsidRPr="004A1299">
        <w:rPr>
          <w:rFonts w:asciiTheme="majorHAnsi" w:hAnsiTheme="majorHAnsi" w:cstheme="majorHAnsi"/>
          <w:lang w:val="en-GB"/>
        </w:rPr>
        <w:t xml:space="preserve">roposals were invited in all areas of fundamental and applied sciences. </w:t>
      </w:r>
      <w:r w:rsidR="00B8567A">
        <w:rPr>
          <w:rFonts w:asciiTheme="majorHAnsi" w:hAnsiTheme="majorHAnsi" w:cstheme="majorHAnsi"/>
          <w:lang w:val="en-GB"/>
        </w:rPr>
        <w:t xml:space="preserve">In </w:t>
      </w:r>
      <w:r w:rsidR="00653325" w:rsidRPr="004A1299">
        <w:rPr>
          <w:rFonts w:asciiTheme="majorHAnsi" w:hAnsiTheme="majorHAnsi" w:cstheme="majorHAnsi"/>
          <w:lang w:val="en-GB"/>
        </w:rPr>
        <w:t xml:space="preserve">55 </w:t>
      </w:r>
      <w:r w:rsidR="00B8567A">
        <w:rPr>
          <w:rFonts w:asciiTheme="majorHAnsi" w:hAnsiTheme="majorHAnsi" w:cstheme="majorHAnsi"/>
          <w:lang w:val="en-GB"/>
        </w:rPr>
        <w:t>applications</w:t>
      </w:r>
      <w:r w:rsidR="00150A4E" w:rsidRPr="004A1299">
        <w:rPr>
          <w:rFonts w:asciiTheme="majorHAnsi" w:hAnsiTheme="majorHAnsi" w:cstheme="majorHAnsi"/>
          <w:lang w:val="en-GB"/>
        </w:rPr>
        <w:t xml:space="preserve"> (42%)</w:t>
      </w:r>
      <w:r w:rsidR="00B8567A">
        <w:rPr>
          <w:rFonts w:asciiTheme="majorHAnsi" w:hAnsiTheme="majorHAnsi" w:cstheme="majorHAnsi"/>
          <w:lang w:val="en-GB"/>
        </w:rPr>
        <w:t xml:space="preserve">, more than one Frascati research area was listed, in which case the proposal is placed in the area with the highest proportion. </w:t>
      </w:r>
      <w:r w:rsidR="00150A4E" w:rsidRPr="004A1299">
        <w:rPr>
          <w:rFonts w:asciiTheme="majorHAnsi" w:hAnsiTheme="majorHAnsi" w:cstheme="majorHAnsi"/>
          <w:lang w:val="en-GB"/>
        </w:rPr>
        <w:t xml:space="preserve"> </w:t>
      </w:r>
      <w:r w:rsidR="00B8567A" w:rsidRPr="00B8567A">
        <w:rPr>
          <w:rFonts w:asciiTheme="majorHAnsi" w:hAnsiTheme="majorHAnsi" w:cstheme="majorHAnsi"/>
          <w:lang w:val="en-GB"/>
        </w:rPr>
        <w:t>The 12 applications were those identified by the applicant as 50% for one and 50% for the other, for which the application is placed in the figure that was fi</w:t>
      </w:r>
      <w:r w:rsidR="00B8567A">
        <w:rPr>
          <w:rFonts w:asciiTheme="majorHAnsi" w:hAnsiTheme="majorHAnsi" w:cstheme="majorHAnsi"/>
          <w:lang w:val="en-GB"/>
        </w:rPr>
        <w:t>rst mentioned in the application</w:t>
      </w:r>
      <w:r w:rsidR="00B8567A" w:rsidRPr="00B8567A">
        <w:rPr>
          <w:rFonts w:asciiTheme="majorHAnsi" w:hAnsiTheme="majorHAnsi" w:cstheme="majorHAnsi"/>
          <w:lang w:val="en-GB"/>
        </w:rPr>
        <w:t>. Applications were only distributed between domains for statistical purposes, evaluation based on this distribution is not performed, the content of the application is taken into account in the assessment and applications are evaluated in a single rank.</w:t>
      </w:r>
    </w:p>
    <w:p w:rsidR="0095701A" w:rsidRDefault="00536859" w:rsidP="004A1299">
      <w:pPr>
        <w:jc w:val="both"/>
        <w:rPr>
          <w:lang w:val="en-GB"/>
        </w:rPr>
      </w:pPr>
      <w:r>
        <w:rPr>
          <w:noProof/>
          <w:lang w:eastAsia="et-EE"/>
        </w:rPr>
        <w:drawing>
          <wp:inline distT="0" distB="0" distL="0" distR="0" wp14:anchorId="0700953E" wp14:editId="3C6A2DFC">
            <wp:extent cx="5619750" cy="32004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1BD5" w:rsidRDefault="004E1BD5" w:rsidP="004A1299">
      <w:pPr>
        <w:jc w:val="both"/>
        <w:rPr>
          <w:lang w:val="en-GB"/>
        </w:rPr>
      </w:pPr>
    </w:p>
    <w:p w:rsidR="00B64A01" w:rsidRPr="00392B6C" w:rsidRDefault="00392B6C" w:rsidP="00B64A01">
      <w:pPr>
        <w:rPr>
          <w:rFonts w:asciiTheme="majorHAnsi" w:hAnsiTheme="majorHAnsi" w:cstheme="majorHAnsi"/>
          <w:b/>
        </w:rPr>
      </w:pPr>
      <w:r w:rsidRPr="00392B6C">
        <w:rPr>
          <w:rFonts w:asciiTheme="majorHAnsi" w:hAnsiTheme="majorHAnsi" w:cstheme="majorHAnsi"/>
          <w:b/>
        </w:rPr>
        <w:t xml:space="preserve">Figure </w:t>
      </w:r>
      <w:r w:rsidR="00BB40C9">
        <w:rPr>
          <w:rFonts w:asciiTheme="majorHAnsi" w:hAnsiTheme="majorHAnsi" w:cstheme="majorHAnsi"/>
          <w:b/>
        </w:rPr>
        <w:t>3</w:t>
      </w:r>
      <w:r w:rsidR="00B64A01" w:rsidRPr="00392B6C">
        <w:rPr>
          <w:rFonts w:asciiTheme="majorHAnsi" w:hAnsiTheme="majorHAnsi" w:cstheme="majorHAnsi"/>
          <w:b/>
        </w:rPr>
        <w:t xml:space="preserve">. </w:t>
      </w:r>
      <w:r w:rsidRPr="00392B6C">
        <w:rPr>
          <w:rFonts w:asciiTheme="majorHAnsi" w:hAnsiTheme="majorHAnsi" w:cstheme="majorHAnsi"/>
          <w:b/>
        </w:rPr>
        <w:t xml:space="preserve">Division of </w:t>
      </w:r>
      <w:r>
        <w:rPr>
          <w:rFonts w:asciiTheme="majorHAnsi" w:hAnsiTheme="majorHAnsi" w:cstheme="majorHAnsi"/>
          <w:b/>
        </w:rPr>
        <w:t>proposals based on Frascati research fields</w:t>
      </w:r>
    </w:p>
    <w:p w:rsidR="00B64A01" w:rsidRPr="00084701" w:rsidRDefault="00B64A01" w:rsidP="00B64A01">
      <w:pPr>
        <w:rPr>
          <w:rFonts w:asciiTheme="majorHAnsi" w:hAnsiTheme="majorHAnsi" w:cstheme="majorHAnsi"/>
        </w:rPr>
      </w:pPr>
    </w:p>
    <w:p w:rsidR="00114F22" w:rsidRPr="00C26655" w:rsidRDefault="00114F22" w:rsidP="00FE02DE">
      <w:pPr>
        <w:pStyle w:val="Pealkiri2"/>
        <w:rPr>
          <w:b/>
          <w:color w:val="0070C0"/>
        </w:rPr>
      </w:pPr>
      <w:r w:rsidRPr="00C26655">
        <w:rPr>
          <w:b/>
          <w:color w:val="0070C0"/>
        </w:rPr>
        <w:t>Challenges</w:t>
      </w:r>
    </w:p>
    <w:p w:rsidR="001C72CD" w:rsidRDefault="001C72CD" w:rsidP="00E2500E">
      <w:pPr>
        <w:jc w:val="both"/>
        <w:rPr>
          <w:rFonts w:asciiTheme="majorHAnsi" w:eastAsia="Times New Roman" w:hAnsiTheme="majorHAnsi" w:cstheme="majorHAnsi"/>
          <w:lang w:val="en-GB" w:eastAsia="et-EE"/>
        </w:rPr>
      </w:pPr>
    </w:p>
    <w:p w:rsidR="00C46CD1" w:rsidRPr="00E2500E" w:rsidRDefault="00114F22" w:rsidP="00E2500E">
      <w:pPr>
        <w:jc w:val="both"/>
        <w:rPr>
          <w:rFonts w:asciiTheme="majorHAnsi" w:eastAsia="Times New Roman" w:hAnsiTheme="majorHAnsi" w:cstheme="majorHAnsi"/>
          <w:lang w:val="en-GB" w:eastAsia="et-EE"/>
        </w:rPr>
      </w:pPr>
      <w:r>
        <w:rPr>
          <w:rFonts w:asciiTheme="majorHAnsi" w:eastAsia="Times New Roman" w:hAnsiTheme="majorHAnsi" w:cstheme="majorHAnsi"/>
          <w:lang w:val="en-GB" w:eastAsia="et-EE"/>
        </w:rPr>
        <w:t>A</w:t>
      </w:r>
      <w:r w:rsidR="00C46CD1" w:rsidRPr="00E2500E">
        <w:rPr>
          <w:rFonts w:asciiTheme="majorHAnsi" w:eastAsia="Times New Roman" w:hAnsiTheme="majorHAnsi" w:cstheme="majorHAnsi"/>
          <w:lang w:val="en-GB" w:eastAsia="et-EE"/>
        </w:rPr>
        <w:t xml:space="preserve">ll the proposals were </w:t>
      </w:r>
      <w:r>
        <w:rPr>
          <w:rFonts w:asciiTheme="majorHAnsi" w:eastAsia="Times New Roman" w:hAnsiTheme="majorHAnsi" w:cstheme="majorHAnsi"/>
          <w:lang w:val="en-GB" w:eastAsia="et-EE"/>
        </w:rPr>
        <w:t xml:space="preserve">submitted </w:t>
      </w:r>
      <w:r w:rsidR="00FE02DE">
        <w:rPr>
          <w:rFonts w:asciiTheme="majorHAnsi" w:eastAsia="Times New Roman" w:hAnsiTheme="majorHAnsi" w:cstheme="majorHAnsi"/>
          <w:lang w:val="en-GB" w:eastAsia="et-EE"/>
        </w:rPr>
        <w:t xml:space="preserve">as </w:t>
      </w:r>
      <w:r w:rsidR="00C46CD1" w:rsidRPr="00E2500E">
        <w:rPr>
          <w:rFonts w:asciiTheme="majorHAnsi" w:eastAsia="Times New Roman" w:hAnsiTheme="majorHAnsi" w:cstheme="majorHAnsi"/>
          <w:lang w:val="en-GB" w:eastAsia="et-EE"/>
        </w:rPr>
        <w:t>challenge-based, except one which was marked as not addressing any of the challenges. Average number of challenges submitted by the project promoters</w:t>
      </w:r>
      <w:r w:rsidR="001B1F70" w:rsidRPr="00E2500E">
        <w:rPr>
          <w:rFonts w:asciiTheme="majorHAnsi" w:eastAsia="Times New Roman" w:hAnsiTheme="majorHAnsi" w:cstheme="majorHAnsi"/>
          <w:lang w:val="en-GB" w:eastAsia="et-EE"/>
        </w:rPr>
        <w:t xml:space="preserve"> wa</w:t>
      </w:r>
      <w:r w:rsidR="00C46CD1" w:rsidRPr="00E2500E">
        <w:rPr>
          <w:rFonts w:asciiTheme="majorHAnsi" w:eastAsia="Times New Roman" w:hAnsiTheme="majorHAnsi" w:cstheme="majorHAnsi"/>
          <w:lang w:val="en-GB" w:eastAsia="et-EE"/>
        </w:rPr>
        <w:t xml:space="preserve">s 2. </w:t>
      </w:r>
      <w:r w:rsidR="00FE02DE">
        <w:rPr>
          <w:rFonts w:asciiTheme="majorHAnsi" w:eastAsia="Times New Roman" w:hAnsiTheme="majorHAnsi" w:cstheme="majorHAnsi"/>
          <w:lang w:val="en-GB" w:eastAsia="et-EE"/>
        </w:rPr>
        <w:t>T</w:t>
      </w:r>
      <w:r w:rsidR="00C46CD1" w:rsidRPr="00E2500E">
        <w:rPr>
          <w:rFonts w:asciiTheme="majorHAnsi" w:eastAsia="Times New Roman" w:hAnsiTheme="majorHAnsi" w:cstheme="majorHAnsi"/>
          <w:lang w:val="en-GB" w:eastAsia="et-EE"/>
        </w:rPr>
        <w:t xml:space="preserve">here are 58 proposals addressing 1 challenge and 1 proposal addressing 5 challenges.  </w:t>
      </w:r>
    </w:p>
    <w:p w:rsidR="00C46CD1" w:rsidRPr="00E2500E" w:rsidRDefault="00C46CD1" w:rsidP="00E2500E">
      <w:pPr>
        <w:jc w:val="both"/>
        <w:rPr>
          <w:rFonts w:asciiTheme="majorHAnsi" w:eastAsia="Times New Roman" w:hAnsiTheme="majorHAnsi" w:cstheme="majorHAnsi"/>
          <w:color w:val="000000"/>
          <w:lang w:val="en-GB" w:eastAsia="et-EE"/>
        </w:rPr>
      </w:pPr>
      <w:r w:rsidRPr="00E2500E">
        <w:rPr>
          <w:rFonts w:asciiTheme="majorHAnsi" w:eastAsia="Times New Roman" w:hAnsiTheme="majorHAnsi" w:cstheme="majorHAnsi"/>
          <w:lang w:val="en-GB" w:eastAsia="et-EE"/>
        </w:rPr>
        <w:t>The most submitted challenges are the challenge 6 (more effective use of resources), challenge 4 (e</w:t>
      </w:r>
      <w:r w:rsidRPr="00E2500E">
        <w:rPr>
          <w:rFonts w:asciiTheme="majorHAnsi" w:hAnsiTheme="majorHAnsi" w:cstheme="majorHAnsi"/>
          <w:color w:val="000000"/>
          <w:lang w:val="en-GB"/>
        </w:rPr>
        <w:t>nvironmentally friendly solutions</w:t>
      </w:r>
      <w:r w:rsidRPr="00E2500E">
        <w:rPr>
          <w:rFonts w:asciiTheme="majorHAnsi" w:eastAsia="Times New Roman" w:hAnsiTheme="majorHAnsi" w:cstheme="majorHAnsi"/>
          <w:lang w:val="en-GB" w:eastAsia="et-EE"/>
        </w:rPr>
        <w:t>) and challenge 1 (p</w:t>
      </w:r>
      <w:r w:rsidRPr="00E2500E">
        <w:rPr>
          <w:rFonts w:asciiTheme="majorHAnsi" w:eastAsia="Times New Roman" w:hAnsiTheme="majorHAnsi" w:cstheme="majorHAnsi"/>
          <w:color w:val="000000"/>
          <w:lang w:val="en-GB" w:eastAsia="et-EE"/>
        </w:rPr>
        <w:t>ublic health; translational medicine; health technologies).</w:t>
      </w:r>
    </w:p>
    <w:p w:rsidR="00FA5A39" w:rsidRPr="00E2500E" w:rsidRDefault="00FA5A39" w:rsidP="00E2500E">
      <w:pPr>
        <w:jc w:val="both"/>
        <w:rPr>
          <w:rFonts w:eastAsia="Times New Roman"/>
          <w:lang w:val="en-GB"/>
        </w:rPr>
      </w:pPr>
    </w:p>
    <w:p w:rsidR="00A37DEF" w:rsidRPr="00FE02DE" w:rsidRDefault="002B76A2" w:rsidP="00A715FE">
      <w:pPr>
        <w:rPr>
          <w:rFonts w:asciiTheme="majorHAnsi" w:eastAsia="Times New Roman" w:hAnsiTheme="majorHAnsi" w:cstheme="majorHAnsi"/>
          <w:b/>
          <w:lang w:val="en-GB"/>
        </w:rPr>
      </w:pPr>
      <w:r>
        <w:rPr>
          <w:rFonts w:asciiTheme="majorHAnsi" w:eastAsia="Times New Roman" w:hAnsiTheme="majorHAnsi" w:cstheme="majorHAnsi"/>
          <w:b/>
          <w:lang w:val="en-GB"/>
        </w:rPr>
        <w:t>Table 3</w:t>
      </w:r>
      <w:r w:rsidR="00C46CD1" w:rsidRPr="00FE02DE">
        <w:rPr>
          <w:rFonts w:asciiTheme="majorHAnsi" w:eastAsia="Times New Roman" w:hAnsiTheme="majorHAnsi" w:cstheme="majorHAnsi"/>
          <w:b/>
          <w:lang w:val="en-GB"/>
        </w:rPr>
        <w:t>. Number of proposals addressing the respective challenge</w:t>
      </w:r>
    </w:p>
    <w:p w:rsidR="00FE02DE" w:rsidRPr="00C46CD1" w:rsidRDefault="00FE02DE" w:rsidP="00A715FE">
      <w:pPr>
        <w:rPr>
          <w:rFonts w:asciiTheme="majorHAnsi" w:eastAsia="Times New Roman" w:hAnsiTheme="majorHAnsi" w:cstheme="majorHAnsi"/>
          <w:lang w:val="en-GB"/>
        </w:rPr>
      </w:pPr>
    </w:p>
    <w:tbl>
      <w:tblPr>
        <w:tblW w:w="9062" w:type="dxa"/>
        <w:tblCellMar>
          <w:left w:w="70" w:type="dxa"/>
          <w:right w:w="70" w:type="dxa"/>
        </w:tblCellMar>
        <w:tblLook w:val="04A0" w:firstRow="1" w:lastRow="0" w:firstColumn="1" w:lastColumn="0" w:noHBand="0" w:noVBand="1"/>
      </w:tblPr>
      <w:tblGrid>
        <w:gridCol w:w="7650"/>
        <w:gridCol w:w="1412"/>
      </w:tblGrid>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Challenge 1 (Public health; translational medicine; health technologies) </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55 proposals</w:t>
            </w:r>
          </w:p>
        </w:tc>
      </w:tr>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Challenge 2 (Migration; social inclusion) </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A715FE">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20 proposals</w:t>
            </w:r>
          </w:p>
        </w:tc>
      </w:tr>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Challenge 3 (Regional cyber security; public security) </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A715FE">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11 proposals</w:t>
            </w:r>
          </w:p>
        </w:tc>
      </w:tr>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Challenge 4 (</w:t>
            </w:r>
            <w:r w:rsidRPr="00114F22">
              <w:rPr>
                <w:rFonts w:asciiTheme="majorHAnsi" w:hAnsiTheme="majorHAnsi" w:cstheme="majorHAnsi"/>
                <w:color w:val="000000"/>
                <w:lang w:val="en-GB"/>
              </w:rPr>
              <w:t xml:space="preserve">Environmentally friendly solutions) </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A715FE">
            <w:pPr>
              <w:rPr>
                <w:rFonts w:asciiTheme="majorHAnsi" w:eastAsia="Times New Roman" w:hAnsiTheme="majorHAnsi" w:cstheme="majorHAnsi"/>
                <w:color w:val="000000"/>
                <w:lang w:val="en-GB" w:eastAsia="et-EE"/>
              </w:rPr>
            </w:pPr>
            <w:r w:rsidRPr="00114F22">
              <w:rPr>
                <w:rFonts w:asciiTheme="majorHAnsi" w:hAnsiTheme="majorHAnsi" w:cstheme="majorHAnsi"/>
                <w:color w:val="000000"/>
                <w:lang w:val="en-GB"/>
              </w:rPr>
              <w:t>56 proposals</w:t>
            </w:r>
          </w:p>
        </w:tc>
      </w:tr>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Challenge 5 (Regional economic development; employment; labour market regulations and social policy) </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C46CD1">
            <w:pPr>
              <w:rPr>
                <w:rFonts w:asciiTheme="majorHAnsi" w:hAnsiTheme="majorHAnsi" w:cstheme="majorHAnsi"/>
                <w:color w:val="000000"/>
                <w:lang w:val="en-GB"/>
              </w:rPr>
            </w:pPr>
            <w:r w:rsidRPr="00114F22">
              <w:rPr>
                <w:rFonts w:asciiTheme="majorHAnsi" w:eastAsia="Times New Roman" w:hAnsiTheme="majorHAnsi" w:cstheme="majorHAnsi"/>
                <w:color w:val="000000"/>
                <w:lang w:val="en-GB" w:eastAsia="et-EE"/>
              </w:rPr>
              <w:t>34 proposals</w:t>
            </w:r>
          </w:p>
          <w:p w:rsidR="00C46CD1" w:rsidRPr="00114F22" w:rsidRDefault="00C46CD1" w:rsidP="00A715FE">
            <w:pPr>
              <w:rPr>
                <w:rFonts w:asciiTheme="majorHAnsi" w:eastAsia="Times New Roman" w:hAnsiTheme="majorHAnsi" w:cstheme="majorHAnsi"/>
                <w:color w:val="000000"/>
                <w:lang w:val="en-GB" w:eastAsia="et-EE"/>
              </w:rPr>
            </w:pPr>
          </w:p>
        </w:tc>
      </w:tr>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Challenge 6 (More effective use of resources)</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A715FE">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58 proposals</w:t>
            </w:r>
          </w:p>
        </w:tc>
      </w:tr>
      <w:tr w:rsidR="00C46CD1" w:rsidRPr="00FA5A39" w:rsidTr="00C46CD1">
        <w:trPr>
          <w:trHeight w:val="30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CD1" w:rsidRPr="00114F22" w:rsidRDefault="00C46CD1" w:rsidP="00C46CD1">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lastRenderedPageBreak/>
              <w:t xml:space="preserve">Application does not address any of the challenges </w:t>
            </w:r>
          </w:p>
        </w:tc>
        <w:tc>
          <w:tcPr>
            <w:tcW w:w="1412" w:type="dxa"/>
            <w:tcBorders>
              <w:top w:val="single" w:sz="4" w:space="0" w:color="auto"/>
              <w:left w:val="single" w:sz="4" w:space="0" w:color="auto"/>
              <w:bottom w:val="single" w:sz="4" w:space="0" w:color="auto"/>
              <w:right w:val="single" w:sz="4" w:space="0" w:color="auto"/>
            </w:tcBorders>
          </w:tcPr>
          <w:p w:rsidR="00C46CD1" w:rsidRPr="00114F22" w:rsidRDefault="00C46CD1" w:rsidP="00A715FE">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 proposal</w:t>
            </w:r>
          </w:p>
        </w:tc>
      </w:tr>
      <w:tr w:rsidR="00C46CD1" w:rsidRPr="00FA5A39" w:rsidTr="00C46CD1">
        <w:trPr>
          <w:trHeight w:val="300"/>
        </w:trPr>
        <w:tc>
          <w:tcPr>
            <w:tcW w:w="7650" w:type="dxa"/>
            <w:tcBorders>
              <w:top w:val="single" w:sz="4" w:space="0" w:color="auto"/>
              <w:left w:val="nil"/>
              <w:bottom w:val="nil"/>
              <w:right w:val="nil"/>
            </w:tcBorders>
            <w:shd w:val="clear" w:color="auto" w:fill="auto"/>
            <w:noWrap/>
            <w:vAlign w:val="bottom"/>
            <w:hideMark/>
          </w:tcPr>
          <w:p w:rsidR="00C46CD1" w:rsidRPr="00114F22" w:rsidRDefault="00C46CD1" w:rsidP="00A715FE">
            <w:pPr>
              <w:rPr>
                <w:rFonts w:asciiTheme="majorHAnsi" w:eastAsia="Times New Roman" w:hAnsiTheme="majorHAnsi" w:cstheme="majorHAnsi"/>
                <w:color w:val="000000"/>
                <w:lang w:val="en-GB" w:eastAsia="et-EE"/>
              </w:rPr>
            </w:pPr>
          </w:p>
        </w:tc>
        <w:tc>
          <w:tcPr>
            <w:tcW w:w="1412" w:type="dxa"/>
            <w:tcBorders>
              <w:top w:val="single" w:sz="4" w:space="0" w:color="auto"/>
              <w:left w:val="nil"/>
              <w:bottom w:val="nil"/>
              <w:right w:val="nil"/>
            </w:tcBorders>
          </w:tcPr>
          <w:p w:rsidR="00C46CD1" w:rsidRPr="00114F22" w:rsidRDefault="00C46CD1" w:rsidP="00A715FE">
            <w:pPr>
              <w:rPr>
                <w:rFonts w:asciiTheme="majorHAnsi" w:eastAsia="Times New Roman" w:hAnsiTheme="majorHAnsi" w:cstheme="majorHAnsi"/>
                <w:color w:val="000000"/>
                <w:lang w:val="en-GB" w:eastAsia="et-EE"/>
              </w:rPr>
            </w:pPr>
          </w:p>
        </w:tc>
      </w:tr>
      <w:tr w:rsidR="00C46CD1" w:rsidRPr="00FA5A39" w:rsidTr="00C46CD1">
        <w:trPr>
          <w:trHeight w:val="80"/>
        </w:trPr>
        <w:tc>
          <w:tcPr>
            <w:tcW w:w="7650" w:type="dxa"/>
            <w:tcBorders>
              <w:top w:val="nil"/>
              <w:left w:val="nil"/>
              <w:bottom w:val="nil"/>
              <w:right w:val="nil"/>
            </w:tcBorders>
            <w:shd w:val="clear" w:color="auto" w:fill="auto"/>
            <w:noWrap/>
            <w:vAlign w:val="bottom"/>
            <w:hideMark/>
          </w:tcPr>
          <w:p w:rsidR="00C46CD1" w:rsidRPr="00FE02DE" w:rsidRDefault="002B76A2" w:rsidP="00275961">
            <w:pPr>
              <w:rPr>
                <w:rFonts w:asciiTheme="majorHAnsi" w:eastAsia="Times New Roman" w:hAnsiTheme="majorHAnsi" w:cstheme="majorHAnsi"/>
                <w:b/>
                <w:color w:val="000000"/>
                <w:lang w:val="en-GB" w:eastAsia="et-EE"/>
              </w:rPr>
            </w:pPr>
            <w:r>
              <w:rPr>
                <w:rFonts w:asciiTheme="majorHAnsi" w:eastAsia="Times New Roman" w:hAnsiTheme="majorHAnsi" w:cstheme="majorHAnsi"/>
                <w:b/>
                <w:color w:val="000000"/>
                <w:lang w:val="en-GB" w:eastAsia="et-EE"/>
              </w:rPr>
              <w:t>Table 4</w:t>
            </w:r>
            <w:r w:rsidR="00275961" w:rsidRPr="00FE02DE">
              <w:rPr>
                <w:rFonts w:asciiTheme="majorHAnsi" w:eastAsia="Times New Roman" w:hAnsiTheme="majorHAnsi" w:cstheme="majorHAnsi"/>
                <w:b/>
                <w:color w:val="000000"/>
                <w:lang w:val="en-GB" w:eastAsia="et-EE"/>
              </w:rPr>
              <w:t>. Number of p</w:t>
            </w:r>
            <w:r w:rsidR="00C46CD1" w:rsidRPr="00FE02DE">
              <w:rPr>
                <w:rFonts w:asciiTheme="majorHAnsi" w:eastAsia="Times New Roman" w:hAnsiTheme="majorHAnsi" w:cstheme="majorHAnsi"/>
                <w:b/>
                <w:color w:val="000000"/>
                <w:lang w:val="en-GB" w:eastAsia="et-EE"/>
              </w:rPr>
              <w:t>roposals based on a number of submitted challenges</w:t>
            </w:r>
          </w:p>
          <w:p w:rsidR="00FE02DE" w:rsidRPr="00114F22" w:rsidRDefault="00FE02DE" w:rsidP="00275961">
            <w:pPr>
              <w:rPr>
                <w:rFonts w:asciiTheme="majorHAnsi" w:eastAsia="Times New Roman" w:hAnsiTheme="majorHAnsi" w:cstheme="majorHAnsi"/>
                <w:color w:val="000000"/>
                <w:lang w:val="en-GB" w:eastAsia="et-EE"/>
              </w:rPr>
            </w:pPr>
          </w:p>
        </w:tc>
        <w:tc>
          <w:tcPr>
            <w:tcW w:w="1412" w:type="dxa"/>
            <w:tcBorders>
              <w:top w:val="nil"/>
              <w:left w:val="nil"/>
              <w:bottom w:val="nil"/>
              <w:right w:val="nil"/>
            </w:tcBorders>
          </w:tcPr>
          <w:p w:rsidR="00C46CD1" w:rsidRPr="00FA5A39" w:rsidRDefault="00C46CD1" w:rsidP="00A715FE">
            <w:pPr>
              <w:rPr>
                <w:rFonts w:asciiTheme="majorHAnsi" w:eastAsia="Times New Roman" w:hAnsiTheme="majorHAnsi" w:cstheme="majorHAnsi"/>
                <w:b/>
                <w:color w:val="000000"/>
                <w:lang w:val="en-GB" w:eastAsia="et-EE"/>
              </w:rPr>
            </w:pPr>
          </w:p>
        </w:tc>
      </w:tr>
      <w:tr w:rsidR="00C46CD1" w:rsidRPr="00FA5A39" w:rsidTr="00C46CD1">
        <w:trPr>
          <w:trHeight w:val="300"/>
        </w:trPr>
        <w:tc>
          <w:tcPr>
            <w:tcW w:w="7650" w:type="dxa"/>
            <w:tcBorders>
              <w:top w:val="nil"/>
              <w:left w:val="nil"/>
              <w:bottom w:val="nil"/>
              <w:right w:val="nil"/>
            </w:tcBorders>
            <w:shd w:val="clear" w:color="auto" w:fill="auto"/>
            <w:noWrap/>
            <w:vAlign w:val="bottom"/>
            <w:hideMark/>
          </w:tcPr>
          <w:tbl>
            <w:tblPr>
              <w:tblStyle w:val="Kontuurtabel"/>
              <w:tblW w:w="0" w:type="auto"/>
              <w:tblLook w:val="04A0" w:firstRow="1" w:lastRow="0" w:firstColumn="1" w:lastColumn="0" w:noHBand="0" w:noVBand="1"/>
            </w:tblPr>
            <w:tblGrid>
              <w:gridCol w:w="1905"/>
              <w:gridCol w:w="2268"/>
            </w:tblGrid>
            <w:tr w:rsidR="00275961" w:rsidRPr="00114F22" w:rsidTr="00BB40C9">
              <w:tc>
                <w:tcPr>
                  <w:tcW w:w="1905"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58 proposals </w:t>
                  </w:r>
                </w:p>
              </w:tc>
              <w:tc>
                <w:tcPr>
                  <w:tcW w:w="2268"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 1 challenge</w:t>
                  </w:r>
                </w:p>
              </w:tc>
            </w:tr>
            <w:tr w:rsidR="00275961" w:rsidRPr="00114F22" w:rsidTr="00BB40C9">
              <w:tc>
                <w:tcPr>
                  <w:tcW w:w="1905"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48 proposals </w:t>
                  </w:r>
                </w:p>
              </w:tc>
              <w:tc>
                <w:tcPr>
                  <w:tcW w:w="2268"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 2 challenges</w:t>
                  </w:r>
                </w:p>
              </w:tc>
            </w:tr>
            <w:tr w:rsidR="00275961" w:rsidRPr="00114F22" w:rsidTr="00BB40C9">
              <w:tc>
                <w:tcPr>
                  <w:tcW w:w="1905"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16 proposals </w:t>
                  </w:r>
                </w:p>
              </w:tc>
              <w:tc>
                <w:tcPr>
                  <w:tcW w:w="2268"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 3 challenges</w:t>
                  </w:r>
                </w:p>
              </w:tc>
            </w:tr>
            <w:tr w:rsidR="00275961" w:rsidRPr="00114F22" w:rsidTr="00BB40C9">
              <w:tc>
                <w:tcPr>
                  <w:tcW w:w="1905"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7 proposals </w:t>
                  </w:r>
                </w:p>
              </w:tc>
              <w:tc>
                <w:tcPr>
                  <w:tcW w:w="2268"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 4 challenges</w:t>
                  </w:r>
                </w:p>
              </w:tc>
            </w:tr>
            <w:tr w:rsidR="00275961" w:rsidRPr="00114F22" w:rsidTr="00BB40C9">
              <w:tc>
                <w:tcPr>
                  <w:tcW w:w="1905"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1 proposal </w:t>
                  </w:r>
                </w:p>
              </w:tc>
              <w:tc>
                <w:tcPr>
                  <w:tcW w:w="2268" w:type="dxa"/>
                </w:tcPr>
                <w:p w:rsidR="00275961" w:rsidRPr="00114F22" w:rsidRDefault="00275961" w:rsidP="00D524B5">
                  <w:pPr>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 xml:space="preserve">  5 challenges</w:t>
                  </w:r>
                </w:p>
              </w:tc>
            </w:tr>
          </w:tbl>
          <w:p w:rsidR="00C46CD1" w:rsidRPr="00114F22" w:rsidRDefault="00C46CD1" w:rsidP="00A37DEF">
            <w:pPr>
              <w:rPr>
                <w:rFonts w:asciiTheme="majorHAnsi" w:eastAsia="Times New Roman" w:hAnsiTheme="majorHAnsi" w:cstheme="majorHAnsi"/>
                <w:color w:val="000000"/>
                <w:lang w:val="en-GB" w:eastAsia="et-EE"/>
              </w:rPr>
            </w:pPr>
          </w:p>
        </w:tc>
        <w:tc>
          <w:tcPr>
            <w:tcW w:w="1412" w:type="dxa"/>
            <w:tcBorders>
              <w:top w:val="nil"/>
              <w:left w:val="nil"/>
              <w:bottom w:val="nil"/>
              <w:right w:val="nil"/>
            </w:tcBorders>
          </w:tcPr>
          <w:p w:rsidR="00C46CD1" w:rsidRPr="00FA5A39" w:rsidRDefault="00C46CD1" w:rsidP="00275961">
            <w:pPr>
              <w:pStyle w:val="Loendilik"/>
              <w:rPr>
                <w:rFonts w:asciiTheme="majorHAnsi" w:eastAsia="Times New Roman" w:hAnsiTheme="majorHAnsi" w:cstheme="majorHAnsi"/>
                <w:b/>
                <w:color w:val="000000"/>
                <w:lang w:val="en-GB" w:eastAsia="et-EE"/>
              </w:rPr>
            </w:pPr>
          </w:p>
        </w:tc>
      </w:tr>
    </w:tbl>
    <w:p w:rsidR="00DF1704" w:rsidRPr="00FA5A39" w:rsidRDefault="00DF1704" w:rsidP="00FA5A39">
      <w:pPr>
        <w:ind w:left="720"/>
        <w:rPr>
          <w:rFonts w:asciiTheme="majorHAnsi" w:eastAsia="Times New Roman" w:hAnsiTheme="majorHAnsi" w:cstheme="majorHAnsi"/>
          <w:color w:val="000000"/>
          <w:lang w:val="en-GB" w:eastAsia="et-EE"/>
        </w:rPr>
      </w:pPr>
    </w:p>
    <w:p w:rsidR="00275961" w:rsidRPr="00C26655" w:rsidRDefault="00FE02DE" w:rsidP="00FE02DE">
      <w:pPr>
        <w:pStyle w:val="Pealkiri2"/>
        <w:rPr>
          <w:b/>
          <w:color w:val="0070C0"/>
          <w:lang w:val="en-GB"/>
        </w:rPr>
      </w:pPr>
      <w:r w:rsidRPr="00C26655">
        <w:rPr>
          <w:b/>
          <w:color w:val="0070C0"/>
          <w:lang w:val="en-GB"/>
        </w:rPr>
        <w:t>Project Partners</w:t>
      </w:r>
    </w:p>
    <w:p w:rsidR="001C72CD" w:rsidRDefault="001C72CD" w:rsidP="00FE02DE">
      <w:pPr>
        <w:jc w:val="both"/>
        <w:rPr>
          <w:rFonts w:asciiTheme="majorHAnsi" w:hAnsiTheme="majorHAnsi" w:cstheme="majorHAnsi"/>
          <w:lang w:val="en-GB"/>
        </w:rPr>
      </w:pPr>
    </w:p>
    <w:p w:rsidR="00FE02DE" w:rsidRPr="00114F22" w:rsidRDefault="00653325" w:rsidP="00FE02DE">
      <w:pPr>
        <w:jc w:val="both"/>
        <w:rPr>
          <w:rFonts w:asciiTheme="majorHAnsi" w:hAnsiTheme="majorHAnsi" w:cstheme="majorHAnsi"/>
          <w:lang w:val="en-GB"/>
        </w:rPr>
      </w:pPr>
      <w:r>
        <w:rPr>
          <w:rFonts w:asciiTheme="majorHAnsi" w:hAnsiTheme="majorHAnsi" w:cstheme="majorHAnsi"/>
          <w:lang w:val="en-GB"/>
        </w:rPr>
        <w:t>I</w:t>
      </w:r>
      <w:r w:rsidR="00E2500E" w:rsidRPr="00114F22">
        <w:rPr>
          <w:rFonts w:asciiTheme="majorHAnsi" w:hAnsiTheme="majorHAnsi" w:cstheme="majorHAnsi"/>
          <w:lang w:val="en-GB"/>
        </w:rPr>
        <w:t xml:space="preserve">t was mandatory to involve at least one partner from another Baltic State and at least one partner from Norway, Iceland or Liechtenstein. The most involved Project Partner’s country was Norway (147 proposals) followed by Lithuania (109) and Latvia (109).  27 proposals had involved partners from the third countries. On average, 3 project partners were involved per 1 project. </w:t>
      </w:r>
      <w:r w:rsidR="00FE02DE" w:rsidRPr="00114F22">
        <w:rPr>
          <w:rFonts w:asciiTheme="majorHAnsi" w:hAnsiTheme="majorHAnsi" w:cstheme="majorHAnsi"/>
          <w:lang w:val="en-GB"/>
        </w:rPr>
        <w:t>In total, 263 partner institutions were involved, and 420 names of partners were given.</w:t>
      </w:r>
    </w:p>
    <w:p w:rsidR="00FA5A39" w:rsidRPr="00114F22" w:rsidRDefault="00FA5A39" w:rsidP="00114F22">
      <w:pPr>
        <w:jc w:val="both"/>
        <w:rPr>
          <w:rFonts w:asciiTheme="majorHAnsi" w:hAnsiTheme="majorHAnsi" w:cstheme="majorHAnsi"/>
          <w:lang w:val="en-GB"/>
        </w:rPr>
      </w:pPr>
    </w:p>
    <w:p w:rsidR="00275961" w:rsidRDefault="00275961" w:rsidP="00114F22">
      <w:pPr>
        <w:jc w:val="both"/>
        <w:rPr>
          <w:rFonts w:asciiTheme="majorHAnsi" w:hAnsiTheme="majorHAnsi" w:cstheme="majorHAnsi"/>
          <w:b/>
          <w:lang w:val="en-GB"/>
        </w:rPr>
      </w:pPr>
      <w:r w:rsidRPr="00FE02DE">
        <w:rPr>
          <w:rFonts w:asciiTheme="majorHAnsi" w:hAnsiTheme="majorHAnsi" w:cstheme="majorHAnsi"/>
          <w:b/>
          <w:lang w:val="en-GB"/>
        </w:rPr>
        <w:t>Tab</w:t>
      </w:r>
      <w:r w:rsidR="00FA5A39" w:rsidRPr="00FE02DE">
        <w:rPr>
          <w:rFonts w:asciiTheme="majorHAnsi" w:hAnsiTheme="majorHAnsi" w:cstheme="majorHAnsi"/>
          <w:b/>
          <w:lang w:val="en-GB"/>
        </w:rPr>
        <w:t>l</w:t>
      </w:r>
      <w:r w:rsidRPr="00FE02DE">
        <w:rPr>
          <w:rFonts w:asciiTheme="majorHAnsi" w:hAnsiTheme="majorHAnsi" w:cstheme="majorHAnsi"/>
          <w:b/>
          <w:lang w:val="en-GB"/>
        </w:rPr>
        <w:t>e</w:t>
      </w:r>
      <w:r w:rsidR="00FA5A39" w:rsidRPr="00FE02DE">
        <w:rPr>
          <w:rFonts w:asciiTheme="majorHAnsi" w:hAnsiTheme="majorHAnsi" w:cstheme="majorHAnsi"/>
          <w:b/>
          <w:lang w:val="en-GB"/>
        </w:rPr>
        <w:t xml:space="preserve"> </w:t>
      </w:r>
      <w:r w:rsidR="002B76A2">
        <w:rPr>
          <w:rFonts w:asciiTheme="majorHAnsi" w:hAnsiTheme="majorHAnsi" w:cstheme="majorHAnsi"/>
          <w:b/>
          <w:lang w:val="en-GB"/>
        </w:rPr>
        <w:t>5</w:t>
      </w:r>
      <w:r w:rsidRPr="00FE02DE">
        <w:rPr>
          <w:rFonts w:asciiTheme="majorHAnsi" w:hAnsiTheme="majorHAnsi" w:cstheme="majorHAnsi"/>
          <w:b/>
          <w:lang w:val="en-GB"/>
        </w:rPr>
        <w:t>.</w:t>
      </w:r>
      <w:r w:rsidR="00FA5A39" w:rsidRPr="00FE02DE">
        <w:rPr>
          <w:rFonts w:asciiTheme="majorHAnsi" w:hAnsiTheme="majorHAnsi" w:cstheme="majorHAnsi"/>
          <w:b/>
          <w:lang w:val="en-GB"/>
        </w:rPr>
        <w:t xml:space="preserve"> </w:t>
      </w:r>
      <w:r w:rsidRPr="00FE02DE">
        <w:rPr>
          <w:rFonts w:asciiTheme="majorHAnsi" w:hAnsiTheme="majorHAnsi" w:cstheme="majorHAnsi"/>
          <w:b/>
          <w:lang w:val="en-GB"/>
        </w:rPr>
        <w:t>Number of proposals having the Project Partners from the following countries</w:t>
      </w:r>
    </w:p>
    <w:p w:rsidR="008E382B" w:rsidRPr="00FE02DE" w:rsidRDefault="008E382B" w:rsidP="00114F22">
      <w:pPr>
        <w:jc w:val="both"/>
        <w:rPr>
          <w:rFonts w:asciiTheme="majorHAnsi" w:hAnsiTheme="majorHAnsi" w:cstheme="majorHAnsi"/>
          <w:b/>
          <w:lang w:val="en-GB"/>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2835"/>
      </w:tblGrid>
      <w:tr w:rsidR="00BB40C9" w:rsidRPr="00114F22" w:rsidTr="008E382B">
        <w:trPr>
          <w:trHeight w:val="300"/>
        </w:trPr>
        <w:tc>
          <w:tcPr>
            <w:tcW w:w="4673" w:type="dxa"/>
            <w:shd w:val="clear" w:color="auto" w:fill="auto"/>
            <w:noWrap/>
            <w:vAlign w:val="bottom"/>
          </w:tcPr>
          <w:p w:rsidR="00BB40C9" w:rsidRPr="008E382B" w:rsidRDefault="00BB40C9" w:rsidP="00114F22">
            <w:pPr>
              <w:jc w:val="both"/>
              <w:rPr>
                <w:rFonts w:asciiTheme="majorHAnsi" w:eastAsia="Times New Roman" w:hAnsiTheme="majorHAnsi" w:cstheme="majorHAnsi"/>
                <w:b/>
                <w:color w:val="000000"/>
                <w:lang w:val="en-GB" w:eastAsia="et-EE"/>
              </w:rPr>
            </w:pPr>
            <w:r w:rsidRPr="008E382B">
              <w:rPr>
                <w:rFonts w:asciiTheme="majorHAnsi" w:eastAsia="Times New Roman" w:hAnsiTheme="majorHAnsi" w:cstheme="majorHAnsi"/>
                <w:b/>
                <w:color w:val="000000"/>
                <w:lang w:val="en-GB" w:eastAsia="et-EE"/>
              </w:rPr>
              <w:t>Project Partner’s country</w:t>
            </w:r>
          </w:p>
        </w:tc>
        <w:tc>
          <w:tcPr>
            <w:tcW w:w="2835" w:type="dxa"/>
            <w:shd w:val="clear" w:color="auto" w:fill="auto"/>
            <w:noWrap/>
            <w:vAlign w:val="bottom"/>
          </w:tcPr>
          <w:p w:rsidR="00BB40C9" w:rsidRPr="008E382B" w:rsidRDefault="00BB40C9" w:rsidP="00114F22">
            <w:pPr>
              <w:jc w:val="both"/>
              <w:rPr>
                <w:rFonts w:asciiTheme="majorHAnsi" w:eastAsia="Times New Roman" w:hAnsiTheme="majorHAnsi" w:cstheme="majorHAnsi"/>
                <w:b/>
                <w:color w:val="000000"/>
                <w:lang w:val="en-GB" w:eastAsia="et-EE"/>
              </w:rPr>
            </w:pPr>
            <w:r w:rsidRPr="008E382B">
              <w:rPr>
                <w:rFonts w:asciiTheme="majorHAnsi" w:eastAsia="Times New Roman" w:hAnsiTheme="majorHAnsi" w:cstheme="majorHAnsi"/>
                <w:b/>
                <w:color w:val="000000"/>
                <w:lang w:val="en-GB" w:eastAsia="et-EE"/>
              </w:rPr>
              <w:t>Number of proposals</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Norway</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147</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Lithuania</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109</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Latvia</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107</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Third countries</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27</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Estonia</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21</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Iceland</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12</w:t>
            </w:r>
          </w:p>
        </w:tc>
      </w:tr>
      <w:tr w:rsidR="00FA5A39" w:rsidRPr="00114F22" w:rsidTr="008E382B">
        <w:trPr>
          <w:trHeight w:val="300"/>
        </w:trPr>
        <w:tc>
          <w:tcPr>
            <w:tcW w:w="4673" w:type="dxa"/>
            <w:shd w:val="clear" w:color="auto" w:fill="auto"/>
            <w:noWrap/>
            <w:vAlign w:val="bottom"/>
            <w:hideMark/>
          </w:tcPr>
          <w:p w:rsidR="00FA5A39" w:rsidRPr="00114F22" w:rsidRDefault="00275961"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Liechtenstein</w:t>
            </w:r>
          </w:p>
        </w:tc>
        <w:tc>
          <w:tcPr>
            <w:tcW w:w="2835" w:type="dxa"/>
            <w:shd w:val="clear" w:color="auto" w:fill="auto"/>
            <w:noWrap/>
            <w:vAlign w:val="bottom"/>
            <w:hideMark/>
          </w:tcPr>
          <w:p w:rsidR="00FA5A39" w:rsidRPr="00114F22" w:rsidRDefault="00FA5A39" w:rsidP="00114F22">
            <w:pPr>
              <w:jc w:val="both"/>
              <w:rPr>
                <w:rFonts w:asciiTheme="majorHAnsi" w:eastAsia="Times New Roman" w:hAnsiTheme="majorHAnsi" w:cstheme="majorHAnsi"/>
                <w:color w:val="000000"/>
                <w:lang w:val="en-GB" w:eastAsia="et-EE"/>
              </w:rPr>
            </w:pPr>
            <w:r w:rsidRPr="00114F22">
              <w:rPr>
                <w:rFonts w:asciiTheme="majorHAnsi" w:eastAsia="Times New Roman" w:hAnsiTheme="majorHAnsi" w:cstheme="majorHAnsi"/>
                <w:color w:val="000000"/>
                <w:lang w:val="en-GB" w:eastAsia="et-EE"/>
              </w:rPr>
              <w:t>1</w:t>
            </w:r>
          </w:p>
        </w:tc>
      </w:tr>
    </w:tbl>
    <w:p w:rsidR="008E382B" w:rsidRDefault="008E382B" w:rsidP="001B1F70">
      <w:pPr>
        <w:rPr>
          <w:rFonts w:asciiTheme="majorHAnsi" w:hAnsiTheme="majorHAnsi" w:cstheme="majorHAnsi"/>
          <w:b/>
          <w:lang w:val="en-GB"/>
        </w:rPr>
      </w:pPr>
    </w:p>
    <w:p w:rsidR="001B1F70" w:rsidRDefault="002B76A2" w:rsidP="001B1F70">
      <w:pPr>
        <w:rPr>
          <w:rFonts w:asciiTheme="majorHAnsi" w:hAnsiTheme="majorHAnsi" w:cstheme="majorHAnsi"/>
          <w:b/>
          <w:lang w:val="en-GB"/>
        </w:rPr>
      </w:pPr>
      <w:r>
        <w:rPr>
          <w:rFonts w:asciiTheme="majorHAnsi" w:hAnsiTheme="majorHAnsi" w:cstheme="majorHAnsi"/>
          <w:b/>
          <w:lang w:val="en-GB"/>
        </w:rPr>
        <w:t>Table 6</w:t>
      </w:r>
      <w:r w:rsidR="001B1F70" w:rsidRPr="00FE02DE">
        <w:rPr>
          <w:rFonts w:asciiTheme="majorHAnsi" w:hAnsiTheme="majorHAnsi" w:cstheme="majorHAnsi"/>
          <w:b/>
          <w:lang w:val="en-GB"/>
        </w:rPr>
        <w:t xml:space="preserve">. Most involved partner institutions </w:t>
      </w:r>
    </w:p>
    <w:p w:rsidR="008E382B" w:rsidRPr="00FE02DE" w:rsidRDefault="008E382B" w:rsidP="001B1F70">
      <w:pPr>
        <w:rPr>
          <w:rFonts w:asciiTheme="majorHAnsi" w:hAnsiTheme="majorHAnsi" w:cstheme="majorHAnsi"/>
          <w:b/>
          <w:lang w:val="en-GB"/>
        </w:rPr>
      </w:pPr>
    </w:p>
    <w:tbl>
      <w:tblPr>
        <w:tblStyle w:val="Kontuurtabel"/>
        <w:tblW w:w="0" w:type="auto"/>
        <w:tblLook w:val="04A0" w:firstRow="1" w:lastRow="0" w:firstColumn="1" w:lastColumn="0" w:noHBand="0" w:noVBand="1"/>
      </w:tblPr>
      <w:tblGrid>
        <w:gridCol w:w="4620"/>
        <w:gridCol w:w="2888"/>
      </w:tblGrid>
      <w:tr w:rsidR="001B1F70" w:rsidRPr="00CE2DEE" w:rsidTr="008E382B">
        <w:trPr>
          <w:trHeight w:val="300"/>
        </w:trPr>
        <w:tc>
          <w:tcPr>
            <w:tcW w:w="4620" w:type="dxa"/>
            <w:noWrap/>
            <w:hideMark/>
          </w:tcPr>
          <w:p w:rsidR="001B1F70" w:rsidRPr="008E382B" w:rsidRDefault="00CE2DEE" w:rsidP="00142464">
            <w:pPr>
              <w:rPr>
                <w:rFonts w:asciiTheme="majorHAnsi" w:hAnsiTheme="majorHAnsi" w:cstheme="majorHAnsi"/>
                <w:b/>
                <w:lang w:val="en-GB"/>
              </w:rPr>
            </w:pPr>
            <w:r w:rsidRPr="008E382B">
              <w:rPr>
                <w:rFonts w:asciiTheme="majorHAnsi" w:hAnsiTheme="majorHAnsi" w:cstheme="majorHAnsi"/>
                <w:b/>
                <w:lang w:val="en-GB"/>
              </w:rPr>
              <w:t>Partner institution</w:t>
            </w:r>
          </w:p>
        </w:tc>
        <w:tc>
          <w:tcPr>
            <w:tcW w:w="2888" w:type="dxa"/>
            <w:noWrap/>
            <w:hideMark/>
          </w:tcPr>
          <w:p w:rsidR="001B1F70" w:rsidRPr="008E382B" w:rsidRDefault="00CE2DEE" w:rsidP="008E382B">
            <w:pPr>
              <w:rPr>
                <w:rFonts w:asciiTheme="majorHAnsi" w:hAnsiTheme="majorHAnsi" w:cstheme="majorHAnsi"/>
                <w:b/>
                <w:lang w:val="en-GB"/>
              </w:rPr>
            </w:pPr>
            <w:r w:rsidRPr="008E382B">
              <w:rPr>
                <w:rFonts w:asciiTheme="majorHAnsi" w:hAnsiTheme="majorHAnsi" w:cstheme="majorHAnsi"/>
                <w:b/>
                <w:lang w:val="en-GB"/>
              </w:rPr>
              <w:t xml:space="preserve">Number of </w:t>
            </w:r>
            <w:r w:rsidR="008E382B">
              <w:rPr>
                <w:rFonts w:asciiTheme="majorHAnsi" w:hAnsiTheme="majorHAnsi" w:cstheme="majorHAnsi"/>
                <w:b/>
                <w:lang w:val="en-GB"/>
              </w:rPr>
              <w:t>proposals</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University of Latvia</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22</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Norwegian University of Science and Technology</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14</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Vilnius University</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14</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Kaunas University of Technology</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10</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Riga Technical University</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10</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University of Bergen</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8</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Lithuanian University of Health Sciences</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7</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University of Iceland</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7</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University of Oslo</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7</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Estonian University of Life Sciences</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6</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University of Stavanger</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6</w:t>
            </w:r>
          </w:p>
        </w:tc>
      </w:tr>
      <w:tr w:rsidR="001B1F70" w:rsidRPr="00CE2DEE" w:rsidTr="008E382B">
        <w:trPr>
          <w:trHeight w:val="300"/>
        </w:trPr>
        <w:tc>
          <w:tcPr>
            <w:tcW w:w="4620"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Vytautas Magnus University</w:t>
            </w:r>
          </w:p>
        </w:tc>
        <w:tc>
          <w:tcPr>
            <w:tcW w:w="2888" w:type="dxa"/>
            <w:noWrap/>
            <w:hideMark/>
          </w:tcPr>
          <w:p w:rsidR="001B1F70" w:rsidRPr="00CE2DEE" w:rsidRDefault="001B1F70" w:rsidP="00142464">
            <w:pPr>
              <w:rPr>
                <w:rFonts w:asciiTheme="majorHAnsi" w:hAnsiTheme="majorHAnsi" w:cstheme="majorHAnsi"/>
                <w:lang w:val="en-GB"/>
              </w:rPr>
            </w:pPr>
            <w:r w:rsidRPr="00CE2DEE">
              <w:rPr>
                <w:rFonts w:asciiTheme="majorHAnsi" w:hAnsiTheme="majorHAnsi" w:cstheme="majorHAnsi"/>
                <w:lang w:val="en-GB"/>
              </w:rPr>
              <w:t>6</w:t>
            </w:r>
          </w:p>
        </w:tc>
      </w:tr>
    </w:tbl>
    <w:p w:rsidR="00DF1704" w:rsidRDefault="00DF1704" w:rsidP="008E382B">
      <w:pPr>
        <w:rPr>
          <w:rFonts w:asciiTheme="majorHAnsi" w:hAnsiTheme="majorHAnsi" w:cstheme="majorHAnsi"/>
          <w:lang w:val="en-GB"/>
        </w:rPr>
      </w:pPr>
    </w:p>
    <w:p w:rsidR="008E382B" w:rsidRPr="008E382B" w:rsidRDefault="001C72CD" w:rsidP="008E382B">
      <w:pPr>
        <w:rPr>
          <w:rFonts w:asciiTheme="majorHAnsi" w:hAnsiTheme="majorHAnsi" w:cstheme="majorHAnsi"/>
          <w:i/>
          <w:lang w:val="en-GB"/>
        </w:rPr>
      </w:pPr>
      <w:r>
        <w:rPr>
          <w:rFonts w:asciiTheme="majorHAnsi" w:hAnsiTheme="majorHAnsi" w:cstheme="majorHAnsi"/>
          <w:i/>
          <w:lang w:val="en-GB"/>
        </w:rPr>
        <w:t>Source: Estonian Research Council (1</w:t>
      </w:r>
      <w:r w:rsidR="008E382B" w:rsidRPr="008E382B">
        <w:rPr>
          <w:rFonts w:asciiTheme="majorHAnsi" w:hAnsiTheme="majorHAnsi" w:cstheme="majorHAnsi"/>
          <w:i/>
          <w:lang w:val="en-GB"/>
        </w:rPr>
        <w:t>5 February 2019</w:t>
      </w:r>
      <w:r>
        <w:rPr>
          <w:rFonts w:asciiTheme="majorHAnsi" w:hAnsiTheme="majorHAnsi" w:cstheme="majorHAnsi"/>
          <w:i/>
          <w:lang w:val="en-GB"/>
        </w:rPr>
        <w:t>)</w:t>
      </w:r>
    </w:p>
    <w:sectPr w:rsidR="008E382B" w:rsidRPr="008E38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1A" w:rsidRDefault="009D501A" w:rsidP="00FA5A39">
      <w:r>
        <w:separator/>
      </w:r>
    </w:p>
  </w:endnote>
  <w:endnote w:type="continuationSeparator" w:id="0">
    <w:p w:rsidR="009D501A" w:rsidRDefault="009D501A" w:rsidP="00FA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1A" w:rsidRDefault="009D501A" w:rsidP="00FA5A39">
      <w:r>
        <w:separator/>
      </w:r>
    </w:p>
  </w:footnote>
  <w:footnote w:type="continuationSeparator" w:id="0">
    <w:p w:rsidR="009D501A" w:rsidRDefault="009D501A" w:rsidP="00FA5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214A"/>
    <w:multiLevelType w:val="hybridMultilevel"/>
    <w:tmpl w:val="A768ECD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1D991AA0"/>
    <w:multiLevelType w:val="hybridMultilevel"/>
    <w:tmpl w:val="468E1E32"/>
    <w:lvl w:ilvl="0" w:tplc="5DCE132E">
      <w:start w:val="130"/>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21"/>
    <w:rsid w:val="00083BB5"/>
    <w:rsid w:val="00114F22"/>
    <w:rsid w:val="00124648"/>
    <w:rsid w:val="00150A4E"/>
    <w:rsid w:val="00192235"/>
    <w:rsid w:val="001B1F70"/>
    <w:rsid w:val="001C72CD"/>
    <w:rsid w:val="00235E11"/>
    <w:rsid w:val="00273899"/>
    <w:rsid w:val="00275961"/>
    <w:rsid w:val="00285A16"/>
    <w:rsid w:val="002B76A2"/>
    <w:rsid w:val="0035441F"/>
    <w:rsid w:val="00386504"/>
    <w:rsid w:val="00392B6C"/>
    <w:rsid w:val="004A1299"/>
    <w:rsid w:val="004E1BD5"/>
    <w:rsid w:val="004E2240"/>
    <w:rsid w:val="004F2921"/>
    <w:rsid w:val="00536859"/>
    <w:rsid w:val="005628E0"/>
    <w:rsid w:val="005A70FB"/>
    <w:rsid w:val="00653325"/>
    <w:rsid w:val="006701D8"/>
    <w:rsid w:val="00671F9B"/>
    <w:rsid w:val="00735E2F"/>
    <w:rsid w:val="00753F30"/>
    <w:rsid w:val="00877C7B"/>
    <w:rsid w:val="008E382B"/>
    <w:rsid w:val="0095701A"/>
    <w:rsid w:val="0098509D"/>
    <w:rsid w:val="009D501A"/>
    <w:rsid w:val="00A11A96"/>
    <w:rsid w:val="00A37DEF"/>
    <w:rsid w:val="00A715FE"/>
    <w:rsid w:val="00A80F4D"/>
    <w:rsid w:val="00A87048"/>
    <w:rsid w:val="00B40232"/>
    <w:rsid w:val="00B64A01"/>
    <w:rsid w:val="00B8567A"/>
    <w:rsid w:val="00BB40C9"/>
    <w:rsid w:val="00BD4C56"/>
    <w:rsid w:val="00BD7432"/>
    <w:rsid w:val="00C02A3A"/>
    <w:rsid w:val="00C26655"/>
    <w:rsid w:val="00C46CD1"/>
    <w:rsid w:val="00C77321"/>
    <w:rsid w:val="00CC4E98"/>
    <w:rsid w:val="00CE2DEE"/>
    <w:rsid w:val="00D05BC7"/>
    <w:rsid w:val="00DF1704"/>
    <w:rsid w:val="00E2500E"/>
    <w:rsid w:val="00F20E01"/>
    <w:rsid w:val="00FA5A39"/>
    <w:rsid w:val="00FE02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735AC-AC7B-40C8-AF04-671608E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77321"/>
    <w:pPr>
      <w:spacing w:after="0" w:line="240" w:lineRule="auto"/>
    </w:pPr>
    <w:rPr>
      <w:rFonts w:ascii="Calibri" w:hAnsi="Calibri" w:cs="Calibri"/>
    </w:rPr>
  </w:style>
  <w:style w:type="paragraph" w:styleId="Pealkiri1">
    <w:name w:val="heading 1"/>
    <w:basedOn w:val="Normaallaad"/>
    <w:next w:val="Normaallaad"/>
    <w:link w:val="Pealkiri1Mrk"/>
    <w:uiPriority w:val="9"/>
    <w:qFormat/>
    <w:rsid w:val="00E250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E250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C77321"/>
    <w:rPr>
      <w:color w:val="0563C1"/>
      <w:u w:val="single"/>
    </w:rPr>
  </w:style>
  <w:style w:type="paragraph" w:styleId="Loendilik">
    <w:name w:val="List Paragraph"/>
    <w:basedOn w:val="Normaallaad"/>
    <w:uiPriority w:val="34"/>
    <w:qFormat/>
    <w:rsid w:val="00C77321"/>
    <w:pPr>
      <w:ind w:left="720"/>
      <w:contextualSpacing/>
    </w:pPr>
  </w:style>
  <w:style w:type="paragraph" w:styleId="Jutumullitekst">
    <w:name w:val="Balloon Text"/>
    <w:basedOn w:val="Normaallaad"/>
    <w:link w:val="JutumullitekstMrk"/>
    <w:uiPriority w:val="99"/>
    <w:semiHidden/>
    <w:unhideWhenUsed/>
    <w:rsid w:val="00A87048"/>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87048"/>
    <w:rPr>
      <w:rFonts w:ascii="Segoe UI" w:hAnsi="Segoe UI" w:cs="Segoe UI"/>
      <w:sz w:val="18"/>
      <w:szCs w:val="18"/>
    </w:rPr>
  </w:style>
  <w:style w:type="paragraph" w:styleId="Pis">
    <w:name w:val="header"/>
    <w:basedOn w:val="Normaallaad"/>
    <w:link w:val="PisMrk"/>
    <w:uiPriority w:val="99"/>
    <w:unhideWhenUsed/>
    <w:rsid w:val="00FA5A39"/>
    <w:pPr>
      <w:tabs>
        <w:tab w:val="center" w:pos="4536"/>
        <w:tab w:val="right" w:pos="9072"/>
      </w:tabs>
    </w:pPr>
  </w:style>
  <w:style w:type="character" w:customStyle="1" w:styleId="PisMrk">
    <w:name w:val="Päis Märk"/>
    <w:basedOn w:val="Liguvaikefont"/>
    <w:link w:val="Pis"/>
    <w:uiPriority w:val="99"/>
    <w:rsid w:val="00FA5A39"/>
    <w:rPr>
      <w:rFonts w:ascii="Calibri" w:hAnsi="Calibri" w:cs="Calibri"/>
    </w:rPr>
  </w:style>
  <w:style w:type="paragraph" w:styleId="Jalus">
    <w:name w:val="footer"/>
    <w:basedOn w:val="Normaallaad"/>
    <w:link w:val="JalusMrk"/>
    <w:uiPriority w:val="99"/>
    <w:unhideWhenUsed/>
    <w:rsid w:val="00FA5A39"/>
    <w:pPr>
      <w:tabs>
        <w:tab w:val="center" w:pos="4536"/>
        <w:tab w:val="right" w:pos="9072"/>
      </w:tabs>
    </w:pPr>
  </w:style>
  <w:style w:type="character" w:customStyle="1" w:styleId="JalusMrk">
    <w:name w:val="Jalus Märk"/>
    <w:basedOn w:val="Liguvaikefont"/>
    <w:link w:val="Jalus"/>
    <w:uiPriority w:val="99"/>
    <w:rsid w:val="00FA5A39"/>
    <w:rPr>
      <w:rFonts w:ascii="Calibri" w:hAnsi="Calibri" w:cs="Calibri"/>
    </w:rPr>
  </w:style>
  <w:style w:type="table" w:styleId="Kontuurtabel">
    <w:name w:val="Table Grid"/>
    <w:basedOn w:val="Normaaltabel"/>
    <w:uiPriority w:val="39"/>
    <w:rsid w:val="0027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E2500E"/>
    <w:rPr>
      <w:rFonts w:asciiTheme="majorHAnsi" w:eastAsiaTheme="majorEastAsia" w:hAnsiTheme="majorHAnsi" w:cstheme="majorBidi"/>
      <w:color w:val="2E74B5" w:themeColor="accent1" w:themeShade="BF"/>
      <w:sz w:val="32"/>
      <w:szCs w:val="32"/>
    </w:rPr>
  </w:style>
  <w:style w:type="paragraph" w:styleId="Alapealkiri">
    <w:name w:val="Subtitle"/>
    <w:basedOn w:val="Normaallaad"/>
    <w:next w:val="Normaallaad"/>
    <w:link w:val="AlapealkiriMrk"/>
    <w:uiPriority w:val="11"/>
    <w:qFormat/>
    <w:rsid w:val="00E250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pealkiriMrk">
    <w:name w:val="Alapealkiri Märk"/>
    <w:basedOn w:val="Liguvaikefont"/>
    <w:link w:val="Alapealkiri"/>
    <w:uiPriority w:val="11"/>
    <w:rsid w:val="00E2500E"/>
    <w:rPr>
      <w:rFonts w:eastAsiaTheme="minorEastAsia"/>
      <w:color w:val="5A5A5A" w:themeColor="text1" w:themeTint="A5"/>
      <w:spacing w:val="15"/>
    </w:rPr>
  </w:style>
  <w:style w:type="character" w:customStyle="1" w:styleId="Pealkiri2Mrk">
    <w:name w:val="Pealkiri 2 Märk"/>
    <w:basedOn w:val="Liguvaikefont"/>
    <w:link w:val="Pealkiri2"/>
    <w:uiPriority w:val="9"/>
    <w:rsid w:val="00E250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5073">
      <w:bodyDiv w:val="1"/>
      <w:marLeft w:val="0"/>
      <w:marRight w:val="0"/>
      <w:marTop w:val="0"/>
      <w:marBottom w:val="0"/>
      <w:divBdr>
        <w:top w:val="none" w:sz="0" w:space="0" w:color="auto"/>
        <w:left w:val="none" w:sz="0" w:space="0" w:color="auto"/>
        <w:bottom w:val="none" w:sz="0" w:space="0" w:color="auto"/>
        <w:right w:val="none" w:sz="0" w:space="0" w:color="auto"/>
      </w:divBdr>
    </w:div>
    <w:div w:id="742945944">
      <w:bodyDiv w:val="1"/>
      <w:marLeft w:val="0"/>
      <w:marRight w:val="0"/>
      <w:marTop w:val="0"/>
      <w:marBottom w:val="0"/>
      <w:divBdr>
        <w:top w:val="none" w:sz="0" w:space="0" w:color="auto"/>
        <w:left w:val="none" w:sz="0" w:space="0" w:color="auto"/>
        <w:bottom w:val="none" w:sz="0" w:space="0" w:color="auto"/>
        <w:right w:val="none" w:sz="0" w:space="0" w:color="auto"/>
      </w:divBdr>
    </w:div>
    <w:div w:id="758790349">
      <w:bodyDiv w:val="1"/>
      <w:marLeft w:val="0"/>
      <w:marRight w:val="0"/>
      <w:marTop w:val="0"/>
      <w:marBottom w:val="0"/>
      <w:divBdr>
        <w:top w:val="none" w:sz="0" w:space="0" w:color="auto"/>
        <w:left w:val="none" w:sz="0" w:space="0" w:color="auto"/>
        <w:bottom w:val="none" w:sz="0" w:space="0" w:color="auto"/>
        <w:right w:val="none" w:sz="0" w:space="0" w:color="auto"/>
      </w:divBdr>
    </w:div>
    <w:div w:id="1210655135">
      <w:bodyDiv w:val="1"/>
      <w:marLeft w:val="0"/>
      <w:marRight w:val="0"/>
      <w:marTop w:val="0"/>
      <w:marBottom w:val="0"/>
      <w:divBdr>
        <w:top w:val="none" w:sz="0" w:space="0" w:color="auto"/>
        <w:left w:val="none" w:sz="0" w:space="0" w:color="auto"/>
        <w:bottom w:val="none" w:sz="0" w:space="0" w:color="auto"/>
        <w:right w:val="none" w:sz="0" w:space="0" w:color="auto"/>
      </w:divBdr>
    </w:div>
    <w:div w:id="12846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i_t__leh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i_t__leh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riik.sise\user\etaguser$\maarja.sillaste\Maarja%20Sillastele\AO\Norra%20programm\Andmestik.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plotArea>
      <c:layout/>
      <c:pieChart>
        <c:varyColors val="1"/>
        <c:ser>
          <c:idx val="0"/>
          <c:order val="0"/>
          <c:tx>
            <c:strRef>
              <c:f>Leht1!$B$1</c:f>
              <c:strCache>
                <c:ptCount val="1"/>
                <c:pt idx="0">
                  <c:v>Principal Investigator (PP)</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52BE-434A-9CFE-5752F9786BA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2-52BE-434A-9CFE-5752F9786BA5}"/>
              </c:ext>
            </c:extLst>
          </c:dPt>
          <c:dLbls>
            <c:dLbl>
              <c:idx val="0"/>
              <c:layout>
                <c:manualLayout>
                  <c:x val="9.4712653105861772E-2"/>
                  <c:y val="-0.1946097362829646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52BE-434A-9CFE-5752F9786BA5}"/>
                </c:ext>
                <c:ext xmlns:c15="http://schemas.microsoft.com/office/drawing/2012/chart" uri="{CE6537A1-D6FC-4f65-9D91-7224C49458BB}"/>
              </c:extLst>
            </c:dLbl>
            <c:dLbl>
              <c:idx val="1"/>
              <c:layout>
                <c:manualLayout>
                  <c:x val="-9.4714020122484727E-2"/>
                  <c:y val="2.709567554055743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52BE-434A-9CFE-5752F9786BA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Leht1!$A$2:$A$3</c:f>
              <c:strCache>
                <c:ptCount val="2"/>
                <c:pt idx="0">
                  <c:v>Male</c:v>
                </c:pt>
                <c:pt idx="1">
                  <c:v>Female</c:v>
                </c:pt>
              </c:strCache>
            </c:strRef>
          </c:cat>
          <c:val>
            <c:numRef>
              <c:f>Leht1!$B$2:$B$3</c:f>
              <c:numCache>
                <c:formatCode>General</c:formatCode>
                <c:ptCount val="2"/>
                <c:pt idx="0">
                  <c:v>84</c:v>
                </c:pt>
                <c:pt idx="1">
                  <c:v>46</c:v>
                </c:pt>
              </c:numCache>
            </c:numRef>
          </c:val>
          <c:extLst xmlns:c16r2="http://schemas.microsoft.com/office/drawing/2015/06/chart">
            <c:ext xmlns:c16="http://schemas.microsoft.com/office/drawing/2014/chart" uri="{C3380CC4-5D6E-409C-BE32-E72D297353CC}">
              <c16:uniqueId val="{00000000-52BE-434A-9CFE-5752F9786BA5}"/>
            </c:ext>
          </c:extLst>
        </c:ser>
        <c:ser>
          <c:idx val="1"/>
          <c:order val="1"/>
          <c:tx>
            <c:strRef>
              <c:f>Leht1!$C$1</c:f>
              <c:strCache>
                <c:ptCount val="1"/>
                <c:pt idx="0">
                  <c:v>Veerg1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1508-4B71-9496-9D7E9AE5858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1508-4B71-9496-9D7E9AE585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Leht1!$A$2:$A$3</c:f>
              <c:strCache>
                <c:ptCount val="2"/>
                <c:pt idx="0">
                  <c:v>Male</c:v>
                </c:pt>
                <c:pt idx="1">
                  <c:v>Female</c:v>
                </c:pt>
              </c:strCache>
            </c:strRef>
          </c:cat>
          <c:val>
            <c:numRef>
              <c:f>Leht1!$C$2:$C$3</c:f>
              <c:numCache>
                <c:formatCode>0%</c:formatCode>
                <c:ptCount val="2"/>
                <c:pt idx="0">
                  <c:v>0.65</c:v>
                </c:pt>
                <c:pt idx="1">
                  <c:v>0.35</c:v>
                </c:pt>
              </c:numCache>
            </c:numRef>
          </c:val>
          <c:extLst xmlns:c16r2="http://schemas.microsoft.com/office/drawing/2015/06/chart">
            <c:ext xmlns:c16="http://schemas.microsoft.com/office/drawing/2014/chart" uri="{C3380CC4-5D6E-409C-BE32-E72D297353CC}">
              <c16:uniqueId val="{00000001-52BE-434A-9CFE-5752F9786BA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t-EE"/>
        </a:p>
      </c:txPr>
    </c:title>
    <c:autoTitleDeleted val="0"/>
    <c:plotArea>
      <c:layout/>
      <c:pieChart>
        <c:varyColors val="1"/>
        <c:ser>
          <c:idx val="0"/>
          <c:order val="0"/>
          <c:tx>
            <c:strRef>
              <c:f>Leht1!$B$1</c:f>
              <c:strCache>
                <c:ptCount val="1"/>
                <c:pt idx="0">
                  <c:v>Project Promoter</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D350-42A2-B0BA-1366B1B0AE6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2-D350-42A2-B0BA-1366B1B0AE6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ADB0-4CA0-942F-61833B0AA65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ADB0-4CA0-942F-61833B0AA658}"/>
              </c:ext>
            </c:extLst>
          </c:dPt>
          <c:dLbls>
            <c:dLbl>
              <c:idx val="0"/>
              <c:layout>
                <c:manualLayout>
                  <c:x val="9.3703885972586595E-2"/>
                  <c:y val="-3.000156230471191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D350-42A2-B0BA-1366B1B0AE6E}"/>
                </c:ext>
                <c:ext xmlns:c15="http://schemas.microsoft.com/office/drawing/2012/chart" uri="{CE6537A1-D6FC-4f65-9D91-7224C49458BB}"/>
              </c:extLst>
            </c:dLbl>
            <c:dLbl>
              <c:idx val="1"/>
              <c:layout>
                <c:manualLayout>
                  <c:x val="-5.6224482356372139E-2"/>
                  <c:y val="-0.15366891638545185"/>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D350-42A2-B0BA-1366B1B0AE6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t-EE"/>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Leht1!$A$2:$A$5</c:f>
              <c:strCache>
                <c:ptCount val="2"/>
                <c:pt idx="0">
                  <c:v>Male</c:v>
                </c:pt>
                <c:pt idx="1">
                  <c:v>Female</c:v>
                </c:pt>
              </c:strCache>
            </c:strRef>
          </c:cat>
          <c:val>
            <c:numRef>
              <c:f>Leht1!$B$2:$B$5</c:f>
              <c:numCache>
                <c:formatCode>General</c:formatCode>
                <c:ptCount val="4"/>
                <c:pt idx="0">
                  <c:v>270</c:v>
                </c:pt>
                <c:pt idx="1">
                  <c:v>216</c:v>
                </c:pt>
              </c:numCache>
            </c:numRef>
          </c:val>
          <c:extLst xmlns:c16r2="http://schemas.microsoft.com/office/drawing/2015/06/chart">
            <c:ext xmlns:c16="http://schemas.microsoft.com/office/drawing/2014/chart" uri="{C3380CC4-5D6E-409C-BE32-E72D297353CC}">
              <c16:uniqueId val="{00000000-D350-42A2-B0BA-1366B1B0AE6E}"/>
            </c:ext>
          </c:extLst>
        </c:ser>
        <c:ser>
          <c:idx val="1"/>
          <c:order val="1"/>
          <c:tx>
            <c:strRef>
              <c:f>Leht1!$C$1</c:f>
              <c:strCache>
                <c:ptCount val="1"/>
                <c:pt idx="0">
                  <c:v>Veerg1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ADB0-4CA0-942F-61833B0AA65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B-ADB0-4CA0-942F-61833B0AA65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D-ADB0-4CA0-942F-61833B0AA65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F-ADB0-4CA0-942F-61833B0AA6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t-EE"/>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Leht1!$A$2:$A$5</c:f>
              <c:strCache>
                <c:ptCount val="2"/>
                <c:pt idx="0">
                  <c:v>Male</c:v>
                </c:pt>
                <c:pt idx="1">
                  <c:v>Female</c:v>
                </c:pt>
              </c:strCache>
            </c:strRef>
          </c:cat>
          <c:val>
            <c:numRef>
              <c:f>Leht1!$C$2:$C$5</c:f>
              <c:numCache>
                <c:formatCode>0%</c:formatCode>
                <c:ptCount val="4"/>
                <c:pt idx="0">
                  <c:v>0.56000000000000005</c:v>
                </c:pt>
                <c:pt idx="1">
                  <c:v>0.44</c:v>
                </c:pt>
              </c:numCache>
            </c:numRef>
          </c:val>
          <c:extLst xmlns:c16r2="http://schemas.microsoft.com/office/drawing/2015/06/chart">
            <c:ext xmlns:c16="http://schemas.microsoft.com/office/drawing/2014/chart" uri="{C3380CC4-5D6E-409C-BE32-E72D297353CC}">
              <c16:uniqueId val="{00000001-D350-42A2-B0BA-1366B1B0AE6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t-EE"/>
        </a:p>
      </c:txPr>
    </c:legend>
    <c:plotVisOnly val="1"/>
    <c:dispBlanksAs val="gap"/>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60367454068242"/>
          <c:y val="2.3401137357830278E-2"/>
          <c:w val="0.44934820647419083"/>
          <c:h val="0.74891367745698467"/>
        </c:manualLayout>
      </c:layout>
      <c:pieChart>
        <c:varyColors val="1"/>
        <c:ser>
          <c:idx val="0"/>
          <c:order val="0"/>
          <c:tx>
            <c:strRef>
              <c:f>Tabelid!$B$62</c:f>
              <c:strCache>
                <c:ptCount val="1"/>
                <c:pt idx="0">
                  <c:v>Taotluste arv</c:v>
                </c:pt>
              </c:strCache>
            </c:strRef>
          </c:tx>
          <c:dPt>
            <c:idx val="0"/>
            <c:bubble3D val="0"/>
            <c:spPr>
              <a:solidFill>
                <a:srgbClr val="339DD5"/>
              </a:solidFill>
              <a:ln w="19050">
                <a:solidFill>
                  <a:schemeClr val="lt1"/>
                </a:solidFill>
              </a:ln>
              <a:effectLst/>
            </c:spPr>
            <c:extLst xmlns:c16r2="http://schemas.microsoft.com/office/drawing/2015/06/chart">
              <c:ext xmlns:c16="http://schemas.microsoft.com/office/drawing/2014/chart" uri="{C3380CC4-5D6E-409C-BE32-E72D297353CC}">
                <c16:uniqueId val="{00000001-595E-4DD9-BCE2-BA0DF82466D1}"/>
              </c:ext>
            </c:extLst>
          </c:dPt>
          <c:dPt>
            <c:idx val="1"/>
            <c:bubble3D val="0"/>
            <c:spPr>
              <a:solidFill>
                <a:srgbClr val="F4C233"/>
              </a:solidFill>
              <a:ln w="19050">
                <a:solidFill>
                  <a:schemeClr val="lt1"/>
                </a:solidFill>
              </a:ln>
              <a:effectLst/>
            </c:spPr>
            <c:extLst xmlns:c16r2="http://schemas.microsoft.com/office/drawing/2015/06/chart">
              <c:ext xmlns:c16="http://schemas.microsoft.com/office/drawing/2014/chart" uri="{C3380CC4-5D6E-409C-BE32-E72D297353CC}">
                <c16:uniqueId val="{00000003-595E-4DD9-BCE2-BA0DF82466D1}"/>
              </c:ext>
            </c:extLst>
          </c:dPt>
          <c:dPt>
            <c:idx val="2"/>
            <c:bubble3D val="0"/>
            <c:spPr>
              <a:solidFill>
                <a:srgbClr val="33599F"/>
              </a:solidFill>
              <a:ln w="19050">
                <a:solidFill>
                  <a:schemeClr val="lt1"/>
                </a:solidFill>
              </a:ln>
              <a:effectLst/>
            </c:spPr>
            <c:extLst xmlns:c16r2="http://schemas.microsoft.com/office/drawing/2015/06/chart">
              <c:ext xmlns:c16="http://schemas.microsoft.com/office/drawing/2014/chart" uri="{C3380CC4-5D6E-409C-BE32-E72D297353CC}">
                <c16:uniqueId val="{00000005-595E-4DD9-BCE2-BA0DF82466D1}"/>
              </c:ext>
            </c:extLst>
          </c:dPt>
          <c:dPt>
            <c:idx val="3"/>
            <c:bubble3D val="0"/>
            <c:spPr>
              <a:solidFill>
                <a:srgbClr val="83B93C"/>
              </a:solidFill>
              <a:ln w="19050">
                <a:solidFill>
                  <a:schemeClr val="lt1"/>
                </a:solidFill>
              </a:ln>
              <a:effectLst/>
            </c:spPr>
            <c:extLst xmlns:c16r2="http://schemas.microsoft.com/office/drawing/2015/06/chart">
              <c:ext xmlns:c16="http://schemas.microsoft.com/office/drawing/2014/chart" uri="{C3380CC4-5D6E-409C-BE32-E72D297353CC}">
                <c16:uniqueId val="{00000007-595E-4DD9-BCE2-BA0DF82466D1}"/>
              </c:ext>
            </c:extLst>
          </c:dPt>
          <c:dPt>
            <c:idx val="4"/>
            <c:bubble3D val="0"/>
            <c:spPr>
              <a:solidFill>
                <a:srgbClr val="EE9133"/>
              </a:solidFill>
              <a:ln w="19050">
                <a:solidFill>
                  <a:schemeClr val="lt1"/>
                </a:solidFill>
              </a:ln>
              <a:effectLst/>
            </c:spPr>
            <c:extLst xmlns:c16r2="http://schemas.microsoft.com/office/drawing/2015/06/chart">
              <c:ext xmlns:c16="http://schemas.microsoft.com/office/drawing/2014/chart" uri="{C3380CC4-5D6E-409C-BE32-E72D297353CC}">
                <c16:uniqueId val="{00000009-595E-4DD9-BCE2-BA0DF82466D1}"/>
              </c:ext>
            </c:extLst>
          </c:dPt>
          <c:dPt>
            <c:idx val="5"/>
            <c:bubble3D val="0"/>
            <c:spPr>
              <a:solidFill>
                <a:srgbClr val="BF5259"/>
              </a:solidFill>
              <a:ln w="19050">
                <a:solidFill>
                  <a:schemeClr val="lt1"/>
                </a:solidFill>
              </a:ln>
              <a:effectLst/>
            </c:spPr>
            <c:extLst xmlns:c16r2="http://schemas.microsoft.com/office/drawing/2015/06/chart">
              <c:ext xmlns:c16="http://schemas.microsoft.com/office/drawing/2014/chart" uri="{C3380CC4-5D6E-409C-BE32-E72D297353CC}">
                <c16:uniqueId val="{0000000B-595E-4DD9-BCE2-BA0DF82466D1}"/>
              </c:ext>
            </c:extLst>
          </c:dPt>
          <c:dLbls>
            <c:dLbl>
              <c:idx val="0"/>
              <c:tx>
                <c:rich>
                  <a:bodyPr/>
                  <a:lstStyle/>
                  <a:p>
                    <a:fld id="{402E49CB-374B-4F67-BED4-09A542280FD7}" type="CELLRANGE">
                      <a:rPr lang="en-US"/>
                      <a:pPr/>
                      <a:t>[CELLRANGE]</a:t>
                    </a:fld>
                    <a:endParaRPr lang="en-US" baseline="0"/>
                  </a:p>
                  <a:p>
                    <a:fld id="{3D8D1C5C-9732-4C26-BC62-DD1ACF832C54}"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595E-4DD9-BCE2-BA0DF82466D1}"/>
                </c:ext>
                <c:ext xmlns:c15="http://schemas.microsoft.com/office/drawing/2012/chart" uri="{CE6537A1-D6FC-4f65-9D91-7224C49458BB}">
                  <c15:dlblFieldTable/>
                  <c15:showDataLabelsRange val="1"/>
                </c:ext>
              </c:extLst>
            </c:dLbl>
            <c:dLbl>
              <c:idx val="1"/>
              <c:tx>
                <c:rich>
                  <a:bodyPr/>
                  <a:lstStyle/>
                  <a:p>
                    <a:fld id="{D1A6D5D5-0990-4AB4-AFEC-EAAEFD97E90B}" type="CELLRANGE">
                      <a:rPr lang="en-US"/>
                      <a:pPr/>
                      <a:t>[CELLRANGE]</a:t>
                    </a:fld>
                    <a:endParaRPr lang="en-US" baseline="0"/>
                  </a:p>
                  <a:p>
                    <a:fld id="{AC0DA5C8-27AC-41D9-9FFE-0421C188B554}"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595E-4DD9-BCE2-BA0DF82466D1}"/>
                </c:ext>
                <c:ext xmlns:c15="http://schemas.microsoft.com/office/drawing/2012/chart" uri="{CE6537A1-D6FC-4f65-9D91-7224C49458BB}">
                  <c15:dlblFieldTable/>
                  <c15:showDataLabelsRange val="1"/>
                </c:ext>
              </c:extLst>
            </c:dLbl>
            <c:dLbl>
              <c:idx val="2"/>
              <c:tx>
                <c:rich>
                  <a:bodyPr/>
                  <a:lstStyle/>
                  <a:p>
                    <a:fld id="{FF647197-9D01-41B1-925F-D1C8F1713FB6}" type="CELLRANGE">
                      <a:rPr lang="en-US"/>
                      <a:pPr/>
                      <a:t>[CELLRANGE]</a:t>
                    </a:fld>
                    <a:endParaRPr lang="en-US" baseline="0"/>
                  </a:p>
                  <a:p>
                    <a:fld id="{08CB4FB1-A5E2-437E-9A7B-CF293AD3CA11}"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595E-4DD9-BCE2-BA0DF82466D1}"/>
                </c:ext>
                <c:ext xmlns:c15="http://schemas.microsoft.com/office/drawing/2012/chart" uri="{CE6537A1-D6FC-4f65-9D91-7224C49458BB}">
                  <c15:dlblFieldTable/>
                  <c15:showDataLabelsRange val="1"/>
                </c:ext>
              </c:extLst>
            </c:dLbl>
            <c:dLbl>
              <c:idx val="3"/>
              <c:tx>
                <c:rich>
                  <a:bodyPr/>
                  <a:lstStyle/>
                  <a:p>
                    <a:fld id="{CA131556-8749-40E8-9023-3E42D948D843}" type="CELLRANGE">
                      <a:rPr lang="en-US"/>
                      <a:pPr/>
                      <a:t>[CELLRANGE]</a:t>
                    </a:fld>
                    <a:endParaRPr lang="en-US" baseline="0"/>
                  </a:p>
                  <a:p>
                    <a:fld id="{AB67A0ED-2100-46AD-BE13-771ED0AF8302}"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595E-4DD9-BCE2-BA0DF82466D1}"/>
                </c:ext>
                <c:ext xmlns:c15="http://schemas.microsoft.com/office/drawing/2012/chart" uri="{CE6537A1-D6FC-4f65-9D91-7224C49458BB}">
                  <c15:dlblFieldTable/>
                  <c15:showDataLabelsRange val="1"/>
                </c:ext>
              </c:extLst>
            </c:dLbl>
            <c:dLbl>
              <c:idx val="4"/>
              <c:tx>
                <c:rich>
                  <a:bodyPr/>
                  <a:lstStyle/>
                  <a:p>
                    <a:fld id="{46AA3CAF-7A69-40C4-B759-A0B1A52A8740}" type="CELLRANGE">
                      <a:rPr lang="en-US"/>
                      <a:pPr/>
                      <a:t>[CELLRANGE]</a:t>
                    </a:fld>
                    <a:endParaRPr lang="en-US" baseline="0"/>
                  </a:p>
                  <a:p>
                    <a:fld id="{64078AAC-87BC-475C-9802-B5A4D10913C5}"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9-595E-4DD9-BCE2-BA0DF82466D1}"/>
                </c:ext>
                <c:ext xmlns:c15="http://schemas.microsoft.com/office/drawing/2012/chart" uri="{CE6537A1-D6FC-4f65-9D91-7224C49458BB}">
                  <c15:dlblFieldTable/>
                  <c15:showDataLabelsRange val="1"/>
                </c:ext>
              </c:extLst>
            </c:dLbl>
            <c:dLbl>
              <c:idx val="5"/>
              <c:tx>
                <c:rich>
                  <a:bodyPr/>
                  <a:lstStyle/>
                  <a:p>
                    <a:fld id="{4181E277-9D11-47F0-A798-ED8FDDFB2C81}" type="CELLRANGE">
                      <a:rPr lang="en-US"/>
                      <a:pPr/>
                      <a:t>[CELLRANGE]</a:t>
                    </a:fld>
                    <a:endParaRPr lang="en-US" baseline="0"/>
                  </a:p>
                  <a:p>
                    <a:fld id="{1C3DD37E-E50A-41DF-820F-91139749D13E}" type="VALUE">
                      <a:rPr lang="en-US"/>
                      <a:pPr/>
                      <a:t>[VÄÄRTUS]</a:t>
                    </a:fld>
                    <a:endParaRPr lang="et-EE"/>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B-595E-4DD9-BCE2-BA0DF82466D1}"/>
                </c:ex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t-EE"/>
              </a:p>
            </c:txPr>
            <c:dLblPos val="bestFit"/>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howDataLabelsRange val="1"/>
              </c:ext>
            </c:extLst>
          </c:dLbls>
          <c:cat>
            <c:strRef>
              <c:f>Tabelid!$A$63:$A$68</c:f>
              <c:strCache>
                <c:ptCount val="6"/>
                <c:pt idx="0">
                  <c:v>Natural sciences</c:v>
                </c:pt>
                <c:pt idx="1">
                  <c:v>Engineering and technology</c:v>
                </c:pt>
                <c:pt idx="2">
                  <c:v>Medical and health sciences</c:v>
                </c:pt>
                <c:pt idx="3">
                  <c:v>Agricultural and veterinary sciences</c:v>
                </c:pt>
                <c:pt idx="4">
                  <c:v>Social sciences</c:v>
                </c:pt>
                <c:pt idx="5">
                  <c:v>Humanities and the arts</c:v>
                </c:pt>
              </c:strCache>
            </c:strRef>
          </c:cat>
          <c:val>
            <c:numRef>
              <c:f>Tabelid!$B$63:$B$68</c:f>
              <c:numCache>
                <c:formatCode>General</c:formatCode>
                <c:ptCount val="6"/>
                <c:pt idx="0">
                  <c:v>34</c:v>
                </c:pt>
                <c:pt idx="1">
                  <c:v>25</c:v>
                </c:pt>
                <c:pt idx="2">
                  <c:v>30</c:v>
                </c:pt>
                <c:pt idx="3">
                  <c:v>8</c:v>
                </c:pt>
                <c:pt idx="4">
                  <c:v>25</c:v>
                </c:pt>
                <c:pt idx="5">
                  <c:v>8</c:v>
                </c:pt>
              </c:numCache>
            </c:numRef>
          </c:val>
          <c:extLst xmlns:c16r2="http://schemas.microsoft.com/office/drawing/2015/06/chart">
            <c:ext xmlns:c16="http://schemas.microsoft.com/office/drawing/2014/chart" uri="{C3380CC4-5D6E-409C-BE32-E72D297353CC}">
              <c16:uniqueId val="{0000000C-595E-4DD9-BCE2-BA0DF82466D1}"/>
            </c:ext>
            <c:ext xmlns:c15="http://schemas.microsoft.com/office/drawing/2012/chart" uri="{02D57815-91ED-43cb-92C2-25804820EDAC}">
              <c15:datalabelsRange>
                <c15:f>Tabelid!$C$63:$C$68</c15:f>
                <c15:dlblRangeCache>
                  <c:ptCount val="6"/>
                  <c:pt idx="0">
                    <c:v>26,2%</c:v>
                  </c:pt>
                  <c:pt idx="1">
                    <c:v>19,2%</c:v>
                  </c:pt>
                  <c:pt idx="2">
                    <c:v>23,1%</c:v>
                  </c:pt>
                  <c:pt idx="3">
                    <c:v>6,2%</c:v>
                  </c:pt>
                  <c:pt idx="4">
                    <c:v>19,2%</c:v>
                  </c:pt>
                  <c:pt idx="5">
                    <c:v>6,2%</c:v>
                  </c:pt>
                </c15:dlblRangeCache>
              </c15:datalabelsRang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9.8416447944006998E-3"/>
          <c:y val="0.78182706328375617"/>
          <c:w val="0.96920559930008754"/>
          <c:h val="0.1903951589384660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t-EE"/>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4791</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Piller</dc:creator>
  <cp:keywords/>
  <dc:description/>
  <cp:lastModifiedBy>Kristi Auli</cp:lastModifiedBy>
  <cp:revision>2</cp:revision>
  <cp:lastPrinted>2019-02-19T07:20:00Z</cp:lastPrinted>
  <dcterms:created xsi:type="dcterms:W3CDTF">2021-03-05T14:29:00Z</dcterms:created>
  <dcterms:modified xsi:type="dcterms:W3CDTF">2021-03-05T14:29:00Z</dcterms:modified>
</cp:coreProperties>
</file>