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96303" w14:textId="77777777" w:rsidR="00F91DA8" w:rsidRDefault="00A7141F" w:rsidP="00A7141F">
      <w:pPr>
        <w:spacing w:after="0" w:line="264" w:lineRule="auto"/>
        <w:jc w:val="center"/>
        <w:rPr>
          <w:b/>
          <w:sz w:val="24"/>
          <w:szCs w:val="24"/>
          <w:lang w:val="en-GB"/>
        </w:rPr>
      </w:pPr>
      <w:r>
        <w:rPr>
          <w:b/>
          <w:noProof/>
          <w:sz w:val="24"/>
          <w:szCs w:val="24"/>
          <w:lang w:val="et-EE" w:eastAsia="et-EE"/>
        </w:rPr>
        <w:drawing>
          <wp:inline distT="0" distB="0" distL="0" distR="0" wp14:anchorId="5DE0792A" wp14:editId="07951C46">
            <wp:extent cx="2480807" cy="18709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926" cy="1886866"/>
                    </a:xfrm>
                    <a:prstGeom prst="rect">
                      <a:avLst/>
                    </a:prstGeom>
                    <a:noFill/>
                  </pic:spPr>
                </pic:pic>
              </a:graphicData>
            </a:graphic>
          </wp:inline>
        </w:drawing>
      </w:r>
    </w:p>
    <w:p w14:paraId="08C808BD" w14:textId="72D25D0F" w:rsidR="00A7141F" w:rsidRPr="003B53A7" w:rsidRDefault="006141F3" w:rsidP="003B53A7">
      <w:pPr>
        <w:spacing w:after="0" w:line="264" w:lineRule="auto"/>
        <w:jc w:val="right"/>
        <w:rPr>
          <w:lang w:val="en-GB"/>
        </w:rPr>
      </w:pPr>
      <w:r>
        <w:rPr>
          <w:lang w:val="en-GB"/>
        </w:rPr>
        <w:t>Update, January</w:t>
      </w:r>
      <w:r w:rsidR="003B53A7" w:rsidRPr="003B53A7">
        <w:rPr>
          <w:lang w:val="en-GB"/>
        </w:rPr>
        <w:t xml:space="preserve"> 202</w:t>
      </w:r>
      <w:r>
        <w:rPr>
          <w:lang w:val="en-GB"/>
        </w:rPr>
        <w:t>1</w:t>
      </w:r>
    </w:p>
    <w:p w14:paraId="7D03F94D" w14:textId="77777777" w:rsidR="00F91DA8" w:rsidRDefault="00F91DA8" w:rsidP="0056526F">
      <w:pPr>
        <w:spacing w:after="0" w:line="264" w:lineRule="auto"/>
        <w:rPr>
          <w:b/>
          <w:sz w:val="24"/>
          <w:szCs w:val="24"/>
          <w:lang w:val="en-GB"/>
        </w:rPr>
      </w:pPr>
    </w:p>
    <w:p w14:paraId="1C7FEA1D" w14:textId="77777777" w:rsidR="0056526F" w:rsidRPr="00076FA5" w:rsidRDefault="0056526F" w:rsidP="00076FA5">
      <w:pPr>
        <w:spacing w:after="0" w:line="264" w:lineRule="auto"/>
        <w:jc w:val="center"/>
        <w:rPr>
          <w:b/>
          <w:sz w:val="24"/>
          <w:szCs w:val="24"/>
          <w:lang w:val="en-GB"/>
        </w:rPr>
      </w:pPr>
      <w:bookmarkStart w:id="0" w:name="_GoBack"/>
      <w:r w:rsidRPr="00076FA5">
        <w:rPr>
          <w:b/>
          <w:sz w:val="24"/>
          <w:szCs w:val="24"/>
          <w:lang w:val="en-GB"/>
        </w:rPr>
        <w:t xml:space="preserve">Pre-announcement of the 2021 </w:t>
      </w:r>
      <w:r w:rsidR="00F91DA8" w:rsidRPr="00076FA5">
        <w:rPr>
          <w:b/>
          <w:sz w:val="24"/>
          <w:szCs w:val="24"/>
          <w:lang w:val="en-GB"/>
        </w:rPr>
        <w:t>J</w:t>
      </w:r>
      <w:r w:rsidRPr="00076FA5">
        <w:rPr>
          <w:b/>
          <w:sz w:val="24"/>
          <w:szCs w:val="24"/>
          <w:lang w:val="en-GB"/>
        </w:rPr>
        <w:t xml:space="preserve">oint </w:t>
      </w:r>
      <w:r w:rsidR="00F91DA8" w:rsidRPr="00076FA5">
        <w:rPr>
          <w:b/>
          <w:sz w:val="24"/>
          <w:szCs w:val="24"/>
          <w:lang w:val="en-GB"/>
        </w:rPr>
        <w:t>C</w:t>
      </w:r>
      <w:r w:rsidRPr="00076FA5">
        <w:rPr>
          <w:b/>
          <w:sz w:val="24"/>
          <w:szCs w:val="24"/>
          <w:lang w:val="en-GB"/>
        </w:rPr>
        <w:t>all</w:t>
      </w:r>
      <w:r w:rsidR="00076FA5">
        <w:rPr>
          <w:b/>
          <w:sz w:val="24"/>
          <w:szCs w:val="24"/>
          <w:lang w:val="en-GB"/>
        </w:rPr>
        <w:t xml:space="preserve"> on</w:t>
      </w:r>
    </w:p>
    <w:bookmarkEnd w:id="0"/>
    <w:p w14:paraId="72451B7F" w14:textId="77777777" w:rsidR="007C1AD1" w:rsidRPr="00076FA5" w:rsidRDefault="007C1AD1" w:rsidP="0056526F">
      <w:pPr>
        <w:spacing w:after="0" w:line="264" w:lineRule="auto"/>
        <w:rPr>
          <w:b/>
          <w:sz w:val="24"/>
          <w:szCs w:val="24"/>
          <w:lang w:val="en-GB"/>
        </w:rPr>
      </w:pPr>
    </w:p>
    <w:p w14:paraId="603CC37B" w14:textId="77777777" w:rsidR="00076FA5" w:rsidRPr="00076FA5" w:rsidRDefault="00076FA5" w:rsidP="00076FA5">
      <w:pPr>
        <w:spacing w:after="0" w:line="264" w:lineRule="auto"/>
        <w:jc w:val="center"/>
        <w:rPr>
          <w:b/>
          <w:sz w:val="32"/>
          <w:szCs w:val="32"/>
          <w:lang w:val="en-GB"/>
        </w:rPr>
      </w:pPr>
      <w:r>
        <w:rPr>
          <w:b/>
          <w:sz w:val="32"/>
          <w:szCs w:val="32"/>
          <w:lang w:val="en-GB"/>
        </w:rPr>
        <w:t>“</w:t>
      </w:r>
      <w:r w:rsidRPr="00076FA5">
        <w:rPr>
          <w:b/>
          <w:sz w:val="32"/>
          <w:szCs w:val="32"/>
          <w:lang w:val="en-GB"/>
        </w:rPr>
        <w:t>Circularity in mixed crop and livestock farming systems, with emphasis on greenhouse gas mitigation</w:t>
      </w:r>
      <w:r>
        <w:rPr>
          <w:b/>
          <w:sz w:val="32"/>
          <w:szCs w:val="32"/>
          <w:lang w:val="en-GB"/>
        </w:rPr>
        <w:t>”</w:t>
      </w:r>
    </w:p>
    <w:p w14:paraId="162438B4" w14:textId="77777777" w:rsidR="00076FA5" w:rsidRDefault="00076FA5" w:rsidP="00D806BB">
      <w:pPr>
        <w:spacing w:after="0" w:line="264" w:lineRule="auto"/>
        <w:jc w:val="both"/>
        <w:rPr>
          <w:sz w:val="24"/>
          <w:szCs w:val="24"/>
          <w:lang w:val="en-GB"/>
        </w:rPr>
      </w:pPr>
    </w:p>
    <w:p w14:paraId="069FFDE7" w14:textId="2B7ED392" w:rsidR="00A877AA" w:rsidRDefault="00A877AA" w:rsidP="00E176C7">
      <w:pPr>
        <w:spacing w:after="0" w:line="264" w:lineRule="auto"/>
        <w:jc w:val="both"/>
        <w:rPr>
          <w:sz w:val="24"/>
          <w:szCs w:val="24"/>
          <w:lang w:val="en-US"/>
        </w:rPr>
      </w:pPr>
      <w:r>
        <w:rPr>
          <w:sz w:val="24"/>
          <w:szCs w:val="24"/>
          <w:lang w:val="en-GB"/>
        </w:rPr>
        <w:t xml:space="preserve">The </w:t>
      </w:r>
      <w:r w:rsidR="000B4AA1" w:rsidRPr="0056526F">
        <w:rPr>
          <w:sz w:val="24"/>
          <w:szCs w:val="24"/>
          <w:lang w:val="en-GB"/>
        </w:rPr>
        <w:t>ERA-NET Cofunds</w:t>
      </w:r>
      <w:r>
        <w:rPr>
          <w:sz w:val="24"/>
          <w:szCs w:val="24"/>
          <w:lang w:val="en-GB"/>
        </w:rPr>
        <w:t xml:space="preserve"> </w:t>
      </w:r>
      <w:r w:rsidR="000B4AA1" w:rsidRPr="00A877AA">
        <w:rPr>
          <w:b/>
          <w:sz w:val="24"/>
          <w:szCs w:val="24"/>
          <w:lang w:val="en-GB"/>
        </w:rPr>
        <w:t>SusAn</w:t>
      </w:r>
      <w:r w:rsidR="000B4AA1">
        <w:rPr>
          <w:sz w:val="24"/>
          <w:szCs w:val="24"/>
          <w:lang w:val="en-GB"/>
        </w:rPr>
        <w:t xml:space="preserve"> (Sustainable Animal Production Systems)</w:t>
      </w:r>
      <w:r w:rsidR="000B4AA1" w:rsidRPr="0056526F">
        <w:rPr>
          <w:sz w:val="24"/>
          <w:szCs w:val="24"/>
          <w:lang w:val="en-GB"/>
        </w:rPr>
        <w:t>,</w:t>
      </w:r>
      <w:r w:rsidR="006B41BD">
        <w:rPr>
          <w:sz w:val="24"/>
          <w:szCs w:val="24"/>
          <w:lang w:val="en-GB"/>
        </w:rPr>
        <w:br/>
      </w:r>
      <w:r w:rsidR="000B4AA1" w:rsidRPr="00A877AA">
        <w:rPr>
          <w:b/>
          <w:sz w:val="24"/>
          <w:szCs w:val="24"/>
          <w:lang w:val="en-GB"/>
        </w:rPr>
        <w:t xml:space="preserve">FACCE ERA-GAS </w:t>
      </w:r>
      <w:r w:rsidR="000B4AA1">
        <w:rPr>
          <w:sz w:val="24"/>
          <w:szCs w:val="24"/>
          <w:lang w:val="en-GB"/>
        </w:rPr>
        <w:t>(</w:t>
      </w:r>
      <w:r>
        <w:rPr>
          <w:sz w:val="24"/>
          <w:szCs w:val="24"/>
          <w:lang w:val="en-GB"/>
        </w:rPr>
        <w:t>Monitoring &amp; Mitigation of Greenhouse Gases from Agri- and Silvi-culture</w:t>
      </w:r>
      <w:r w:rsidR="000B4AA1">
        <w:rPr>
          <w:sz w:val="24"/>
          <w:szCs w:val="24"/>
          <w:lang w:val="en-GB"/>
        </w:rPr>
        <w:t>)</w:t>
      </w:r>
      <w:r w:rsidR="000B4AA1" w:rsidRPr="0056526F">
        <w:rPr>
          <w:sz w:val="24"/>
          <w:szCs w:val="24"/>
          <w:lang w:val="en-GB"/>
        </w:rPr>
        <w:t>,</w:t>
      </w:r>
      <w:r w:rsidR="000B4AA1" w:rsidRPr="00A877AA">
        <w:rPr>
          <w:b/>
          <w:sz w:val="24"/>
          <w:szCs w:val="24"/>
          <w:lang w:val="en-GB"/>
        </w:rPr>
        <w:t xml:space="preserve"> ICT-AGRI-FOOD</w:t>
      </w:r>
      <w:r w:rsidR="000B4AA1">
        <w:rPr>
          <w:sz w:val="24"/>
          <w:szCs w:val="24"/>
          <w:lang w:val="en-GB"/>
        </w:rPr>
        <w:t xml:space="preserve"> (</w:t>
      </w:r>
      <w:r>
        <w:rPr>
          <w:sz w:val="24"/>
          <w:szCs w:val="24"/>
          <w:lang w:val="en-GB"/>
        </w:rPr>
        <w:t>ICT-enabled agri-food systems</w:t>
      </w:r>
      <w:r w:rsidR="000B4AA1">
        <w:rPr>
          <w:sz w:val="24"/>
          <w:szCs w:val="24"/>
          <w:lang w:val="en-GB"/>
        </w:rPr>
        <w:t xml:space="preserve">) </w:t>
      </w:r>
      <w:r w:rsidR="000B4AA1" w:rsidRPr="0056526F">
        <w:rPr>
          <w:sz w:val="24"/>
          <w:szCs w:val="24"/>
          <w:lang w:val="en-GB"/>
        </w:rPr>
        <w:t xml:space="preserve">and </w:t>
      </w:r>
      <w:r w:rsidR="000B4AA1" w:rsidRPr="00A877AA">
        <w:rPr>
          <w:b/>
          <w:sz w:val="24"/>
          <w:szCs w:val="24"/>
          <w:lang w:val="en-GB"/>
        </w:rPr>
        <w:t>SusCrop</w:t>
      </w:r>
      <w:r w:rsidR="000B4AA1">
        <w:rPr>
          <w:sz w:val="24"/>
          <w:szCs w:val="24"/>
          <w:lang w:val="en-GB"/>
        </w:rPr>
        <w:t xml:space="preserve"> (Sustainable Crop Production) will launch a joint </w:t>
      </w:r>
      <w:r w:rsidR="000B4AA1" w:rsidRPr="00F81E35">
        <w:rPr>
          <w:sz w:val="24"/>
          <w:szCs w:val="24"/>
          <w:lang w:val="en-US"/>
        </w:rPr>
        <w:t>call for transnational</w:t>
      </w:r>
      <w:r w:rsidR="00076FA5">
        <w:rPr>
          <w:sz w:val="24"/>
          <w:szCs w:val="24"/>
          <w:lang w:val="en-US"/>
        </w:rPr>
        <w:t xml:space="preserve"> interdisciplinary</w:t>
      </w:r>
      <w:r w:rsidR="000B4AA1" w:rsidRPr="00F81E35">
        <w:rPr>
          <w:sz w:val="24"/>
          <w:szCs w:val="24"/>
          <w:lang w:val="en-US"/>
        </w:rPr>
        <w:t xml:space="preserve"> research pro</w:t>
      </w:r>
      <w:r>
        <w:rPr>
          <w:sz w:val="24"/>
          <w:szCs w:val="24"/>
          <w:lang w:val="en-US"/>
        </w:rPr>
        <w:t xml:space="preserve">jects. </w:t>
      </w:r>
    </w:p>
    <w:p w14:paraId="42DC3659" w14:textId="77777777" w:rsidR="00A877AA" w:rsidRPr="008B23FF" w:rsidRDefault="00A877AA" w:rsidP="00D806BB">
      <w:pPr>
        <w:spacing w:after="0" w:line="264" w:lineRule="auto"/>
        <w:jc w:val="both"/>
        <w:rPr>
          <w:sz w:val="16"/>
          <w:szCs w:val="16"/>
          <w:lang w:val="en-US"/>
        </w:rPr>
      </w:pPr>
    </w:p>
    <w:p w14:paraId="335BA114" w14:textId="40D412BF" w:rsidR="000B4AA1" w:rsidDel="00143DDE" w:rsidRDefault="005431A4" w:rsidP="004B7772">
      <w:pPr>
        <w:pBdr>
          <w:top w:val="single" w:sz="4" w:space="1" w:color="auto"/>
          <w:left w:val="single" w:sz="4" w:space="4" w:color="auto"/>
          <w:bottom w:val="single" w:sz="4" w:space="1" w:color="auto"/>
          <w:right w:val="single" w:sz="4" w:space="4" w:color="auto"/>
        </w:pBdr>
        <w:spacing w:after="0"/>
        <w:rPr>
          <w:sz w:val="24"/>
          <w:szCs w:val="24"/>
          <w:lang w:val="en-US"/>
        </w:rPr>
      </w:pPr>
      <w:r w:rsidRPr="005431A4" w:rsidDel="00143DDE">
        <w:rPr>
          <w:sz w:val="24"/>
          <w:szCs w:val="24"/>
          <w:lang w:val="en-US"/>
        </w:rPr>
        <w:t>Details presented in this pre-announcement may be subject to change before the launch of the call.</w:t>
      </w:r>
      <w:r>
        <w:rPr>
          <w:sz w:val="24"/>
          <w:szCs w:val="24"/>
          <w:lang w:val="en-US"/>
        </w:rPr>
        <w:t xml:space="preserve"> </w:t>
      </w:r>
      <w:r w:rsidR="003B3A40">
        <w:rPr>
          <w:sz w:val="24"/>
          <w:lang w:val="en-GB"/>
        </w:rPr>
        <w:t xml:space="preserve">The </w:t>
      </w:r>
      <w:r w:rsidR="00130194">
        <w:rPr>
          <w:sz w:val="24"/>
          <w:lang w:val="en-GB"/>
        </w:rPr>
        <w:t>c</w:t>
      </w:r>
      <w:r w:rsidR="003B3A40">
        <w:rPr>
          <w:sz w:val="24"/>
          <w:lang w:val="en-GB"/>
        </w:rPr>
        <w:t>all announcement</w:t>
      </w:r>
      <w:r w:rsidR="00385DCD" w:rsidDel="00143DDE">
        <w:rPr>
          <w:sz w:val="24"/>
          <w:lang w:val="en-GB"/>
        </w:rPr>
        <w:t xml:space="preserve"> will be published </w:t>
      </w:r>
      <w:r w:rsidR="009C376D" w:rsidDel="00143DDE">
        <w:rPr>
          <w:sz w:val="24"/>
          <w:lang w:val="en-GB"/>
        </w:rPr>
        <w:t>in February</w:t>
      </w:r>
      <w:r w:rsidR="00385DCD" w:rsidDel="00143DDE">
        <w:rPr>
          <w:sz w:val="24"/>
          <w:lang w:val="en-GB"/>
        </w:rPr>
        <w:t xml:space="preserve"> 2021</w:t>
      </w:r>
      <w:r w:rsidR="009C376D" w:rsidDel="00143DDE">
        <w:rPr>
          <w:sz w:val="24"/>
          <w:lang w:val="en-GB"/>
        </w:rPr>
        <w:t>.</w:t>
      </w:r>
    </w:p>
    <w:p w14:paraId="5D3F5C9F" w14:textId="77777777" w:rsidR="0056526F" w:rsidRPr="008B23FF" w:rsidRDefault="0056526F" w:rsidP="00D806BB">
      <w:pPr>
        <w:spacing w:after="0" w:line="264" w:lineRule="auto"/>
        <w:jc w:val="both"/>
        <w:rPr>
          <w:sz w:val="16"/>
          <w:szCs w:val="16"/>
          <w:lang w:val="en-GB"/>
        </w:rPr>
      </w:pPr>
    </w:p>
    <w:p w14:paraId="62D1303A" w14:textId="103DC563" w:rsidR="0056526F" w:rsidRDefault="00C83231" w:rsidP="00C83231">
      <w:pPr>
        <w:spacing w:after="120" w:line="264" w:lineRule="auto"/>
        <w:rPr>
          <w:sz w:val="24"/>
          <w:lang w:val="en-GB"/>
        </w:rPr>
      </w:pPr>
      <w:r w:rsidRPr="00CC5EBA">
        <w:rPr>
          <w:b/>
          <w:sz w:val="24"/>
          <w:lang w:val="en-GB"/>
        </w:rPr>
        <w:t>Summary of Call</w:t>
      </w:r>
      <w:r>
        <w:rPr>
          <w:b/>
          <w:sz w:val="24"/>
          <w:lang w:val="en-GB"/>
        </w:rPr>
        <w:t xml:space="preserve">: </w:t>
      </w:r>
      <w:r w:rsidR="0056526F" w:rsidRPr="00DB2C8F">
        <w:rPr>
          <w:sz w:val="24"/>
          <w:szCs w:val="24"/>
          <w:lang w:val="en-GB"/>
        </w:rPr>
        <w:t xml:space="preserve">This call is about research on (re-) integration of </w:t>
      </w:r>
      <w:r w:rsidR="00125C80">
        <w:rPr>
          <w:sz w:val="24"/>
          <w:lang w:val="en-GB"/>
        </w:rPr>
        <w:t>crop and livestock farm</w:t>
      </w:r>
      <w:r w:rsidR="0056526F" w:rsidRPr="00DB2C8F">
        <w:rPr>
          <w:sz w:val="24"/>
          <w:lang w:val="en-GB"/>
        </w:rPr>
        <w:t>ing systems</w:t>
      </w:r>
      <w:r w:rsidR="0056526F">
        <w:rPr>
          <w:sz w:val="24"/>
          <w:lang w:val="en-GB"/>
        </w:rPr>
        <w:t xml:space="preserve"> with the aim to enhance circularity between these systems and thereby improve the sustainability of farms.</w:t>
      </w:r>
    </w:p>
    <w:p w14:paraId="20EDE072" w14:textId="60C84596" w:rsidR="00A61C01" w:rsidRDefault="00A61C01" w:rsidP="00D806BB">
      <w:pPr>
        <w:spacing w:after="120" w:line="264" w:lineRule="auto"/>
        <w:jc w:val="both"/>
        <w:rPr>
          <w:sz w:val="24"/>
          <w:lang w:val="en-GB"/>
        </w:rPr>
      </w:pPr>
    </w:p>
    <w:p w14:paraId="7E2272F7" w14:textId="3253CFC3" w:rsidR="00A61C01" w:rsidRDefault="005E095E" w:rsidP="00275A8B">
      <w:pPr>
        <w:spacing w:after="120" w:line="264" w:lineRule="auto"/>
        <w:jc w:val="both"/>
        <w:rPr>
          <w:b/>
          <w:sz w:val="24"/>
          <w:lang w:val="en-GB"/>
        </w:rPr>
      </w:pPr>
      <w:r w:rsidRPr="005E095E">
        <w:rPr>
          <w:b/>
          <w:sz w:val="24"/>
          <w:lang w:val="en-GB"/>
        </w:rPr>
        <w:t>Preliminary t</w:t>
      </w:r>
      <w:r w:rsidR="00A61C01" w:rsidRPr="005E095E">
        <w:rPr>
          <w:b/>
          <w:sz w:val="24"/>
          <w:lang w:val="en-GB"/>
        </w:rPr>
        <w:t>imeline:</w:t>
      </w:r>
    </w:p>
    <w:p w14:paraId="545629CE" w14:textId="3E562E8E" w:rsidR="00A71B02" w:rsidRPr="00A71B02" w:rsidRDefault="00A71B02" w:rsidP="00D806BB">
      <w:pPr>
        <w:spacing w:after="120" w:line="264" w:lineRule="auto"/>
        <w:jc w:val="both"/>
        <w:rPr>
          <w:sz w:val="24"/>
          <w:lang w:val="en-GB"/>
        </w:rPr>
      </w:pPr>
      <w:r w:rsidRPr="00A71B02">
        <w:rPr>
          <w:sz w:val="24"/>
          <w:lang w:val="en-GB"/>
        </w:rPr>
        <w:t>(1 – step procedure, i.e. without pre-proposal phase)</w:t>
      </w:r>
    </w:p>
    <w:p w14:paraId="0F7510EF" w14:textId="59ABD1C7" w:rsidR="00A61C01" w:rsidRDefault="005E095E" w:rsidP="00F72296">
      <w:pPr>
        <w:spacing w:after="0" w:line="264" w:lineRule="auto"/>
        <w:jc w:val="both"/>
        <w:rPr>
          <w:sz w:val="24"/>
          <w:lang w:val="en-GB"/>
        </w:rPr>
      </w:pPr>
      <w:r>
        <w:rPr>
          <w:sz w:val="24"/>
          <w:lang w:val="en-GB"/>
        </w:rPr>
        <w:t>Feb 2021</w:t>
      </w:r>
      <w:r>
        <w:rPr>
          <w:sz w:val="24"/>
          <w:lang w:val="en-GB"/>
        </w:rPr>
        <w:tab/>
        <w:t>Launch of the call</w:t>
      </w:r>
    </w:p>
    <w:p w14:paraId="2F9B9FF4" w14:textId="29A10FC6" w:rsidR="005E095E" w:rsidRDefault="005E095E" w:rsidP="00F72296">
      <w:pPr>
        <w:spacing w:after="0" w:line="264" w:lineRule="auto"/>
        <w:jc w:val="both"/>
        <w:rPr>
          <w:sz w:val="24"/>
          <w:lang w:val="en-GB"/>
        </w:rPr>
      </w:pPr>
      <w:r>
        <w:rPr>
          <w:sz w:val="24"/>
          <w:lang w:val="en-GB"/>
        </w:rPr>
        <w:t>May 2021</w:t>
      </w:r>
      <w:r>
        <w:rPr>
          <w:sz w:val="24"/>
          <w:lang w:val="en-GB"/>
        </w:rPr>
        <w:tab/>
      </w:r>
      <w:r w:rsidR="00A2767A">
        <w:rPr>
          <w:sz w:val="24"/>
          <w:lang w:val="en-GB"/>
        </w:rPr>
        <w:t xml:space="preserve">(Full) </w:t>
      </w:r>
      <w:r>
        <w:rPr>
          <w:sz w:val="24"/>
          <w:lang w:val="en-GB"/>
        </w:rPr>
        <w:t>Proposal submission deadline</w:t>
      </w:r>
    </w:p>
    <w:p w14:paraId="4D02D75A" w14:textId="29237502" w:rsidR="005E095E" w:rsidRDefault="005E095E" w:rsidP="00F72296">
      <w:pPr>
        <w:spacing w:after="0" w:line="264" w:lineRule="auto"/>
        <w:jc w:val="both"/>
        <w:rPr>
          <w:sz w:val="24"/>
          <w:lang w:val="en-GB"/>
        </w:rPr>
      </w:pPr>
      <w:r>
        <w:rPr>
          <w:sz w:val="24"/>
          <w:lang w:val="en-GB"/>
        </w:rPr>
        <w:t>Dec 2021</w:t>
      </w:r>
      <w:r>
        <w:rPr>
          <w:sz w:val="24"/>
          <w:lang w:val="en-GB"/>
        </w:rPr>
        <w:tab/>
        <w:t>Start of projects</w:t>
      </w:r>
    </w:p>
    <w:p w14:paraId="504C97FB" w14:textId="256F5240" w:rsidR="005A71D4" w:rsidRPr="00F72296" w:rsidRDefault="005A71D4" w:rsidP="00D806BB">
      <w:pPr>
        <w:spacing w:after="120" w:line="264" w:lineRule="auto"/>
        <w:jc w:val="both"/>
        <w:rPr>
          <w:sz w:val="24"/>
          <w:szCs w:val="24"/>
          <w:lang w:val="en-GB"/>
        </w:rPr>
      </w:pPr>
    </w:p>
    <w:p w14:paraId="33C0E572" w14:textId="4EB05439" w:rsidR="00F72296" w:rsidRPr="00387530" w:rsidRDefault="00F72296" w:rsidP="00F72296">
      <w:pPr>
        <w:spacing w:after="0" w:line="264" w:lineRule="auto"/>
        <w:jc w:val="both"/>
        <w:rPr>
          <w:noProof/>
          <w:sz w:val="24"/>
          <w:szCs w:val="24"/>
          <w:lang w:val="en-US"/>
        </w:rPr>
      </w:pPr>
      <w:r w:rsidRPr="00387530">
        <w:rPr>
          <w:b/>
          <w:noProof/>
          <w:sz w:val="24"/>
          <w:szCs w:val="24"/>
          <w:lang w:val="en-US"/>
        </w:rPr>
        <w:t>Who can apply:</w:t>
      </w:r>
      <w:r w:rsidRPr="00387530">
        <w:rPr>
          <w:noProof/>
          <w:sz w:val="24"/>
          <w:szCs w:val="24"/>
          <w:lang w:val="en-US"/>
        </w:rPr>
        <w:t xml:space="preserve"> Universities and other higher education institutions, public research institutions, private non-profit organisations, and private companies can apply subject to the national regulations and eligibility criteria. </w:t>
      </w:r>
      <w:r w:rsidRPr="00F72296">
        <w:rPr>
          <w:noProof/>
          <w:sz w:val="24"/>
          <w:szCs w:val="24"/>
          <w:lang w:val="en-US"/>
        </w:rPr>
        <w:t xml:space="preserve">Research consortia should consist of a minimum of three partners seeking funding from at least three participating countries. </w:t>
      </w:r>
      <w:r w:rsidRPr="00387530">
        <w:rPr>
          <w:noProof/>
          <w:sz w:val="24"/>
          <w:szCs w:val="24"/>
          <w:lang w:val="en-US"/>
        </w:rPr>
        <w:t xml:space="preserve">Funding of the participating research </w:t>
      </w:r>
      <w:r w:rsidR="00314F4E" w:rsidRPr="00387530">
        <w:rPr>
          <w:noProof/>
          <w:sz w:val="24"/>
          <w:szCs w:val="24"/>
          <w:lang w:val="en-US"/>
        </w:rPr>
        <w:t xml:space="preserve">organisations </w:t>
      </w:r>
      <w:r w:rsidRPr="00387530">
        <w:rPr>
          <w:noProof/>
          <w:sz w:val="24"/>
          <w:szCs w:val="24"/>
          <w:lang w:val="en-US"/>
        </w:rPr>
        <w:t>will be provided by their respective national funding organisation according to their legal terms and conditions for project funding. A provisional list of partner countries is given below – the funding organisations’ names and national regulati</w:t>
      </w:r>
      <w:r w:rsidR="00CC1ECD">
        <w:rPr>
          <w:noProof/>
          <w:sz w:val="24"/>
          <w:szCs w:val="24"/>
          <w:lang w:val="en-US"/>
        </w:rPr>
        <w:t>ons will be published with the call a</w:t>
      </w:r>
      <w:r w:rsidRPr="00387530">
        <w:rPr>
          <w:noProof/>
          <w:sz w:val="24"/>
          <w:szCs w:val="24"/>
          <w:lang w:val="en-US"/>
        </w:rPr>
        <w:t>nnouncement.</w:t>
      </w:r>
    </w:p>
    <w:p w14:paraId="0E341390" w14:textId="5BCE11A2" w:rsidR="00076FA5" w:rsidRDefault="00A61C01" w:rsidP="0056526F">
      <w:pPr>
        <w:spacing w:after="120" w:line="264" w:lineRule="auto"/>
        <w:rPr>
          <w:sz w:val="16"/>
          <w:szCs w:val="16"/>
          <w:lang w:val="en-GB"/>
        </w:rPr>
      </w:pPr>
      <w:r>
        <w:rPr>
          <w:sz w:val="16"/>
          <w:szCs w:val="16"/>
          <w:lang w:val="en-GB"/>
        </w:rPr>
        <w:br w:type="column"/>
      </w:r>
    </w:p>
    <w:p w14:paraId="0B874B12" w14:textId="77777777" w:rsidR="00DE46D0" w:rsidRPr="008B23FF" w:rsidRDefault="00DE46D0" w:rsidP="0056526F">
      <w:pPr>
        <w:spacing w:after="120" w:line="264" w:lineRule="auto"/>
        <w:rPr>
          <w:sz w:val="16"/>
          <w:szCs w:val="16"/>
          <w:lang w:val="en-GB"/>
        </w:rPr>
      </w:pPr>
    </w:p>
    <w:p w14:paraId="7EDF43C4" w14:textId="77777777" w:rsidR="00076FA5" w:rsidRDefault="00D806BB" w:rsidP="0056526F">
      <w:pPr>
        <w:spacing w:after="120" w:line="264" w:lineRule="auto"/>
        <w:rPr>
          <w:b/>
          <w:sz w:val="24"/>
          <w:lang w:val="en-GB"/>
        </w:rPr>
      </w:pPr>
      <w:r>
        <w:rPr>
          <w:b/>
          <w:bCs/>
          <w:sz w:val="24"/>
          <w:szCs w:val="24"/>
          <w:lang w:val="en-GB"/>
        </w:rPr>
        <w:t>To date the following countries are funding the 2021 Joint Call</w:t>
      </w:r>
      <w:r w:rsidR="00076FA5" w:rsidRPr="00A7141F">
        <w:rPr>
          <w:b/>
          <w:bCs/>
          <w:sz w:val="24"/>
          <w:szCs w:val="24"/>
          <w:lang w:val="en-GB"/>
        </w:rPr>
        <w:t>:</w:t>
      </w:r>
    </w:p>
    <w:tbl>
      <w:tblPr>
        <w:tblStyle w:val="Kontuurtabel"/>
        <w:tblW w:w="9209" w:type="dxa"/>
        <w:tblLook w:val="04A0" w:firstRow="1" w:lastRow="0" w:firstColumn="1" w:lastColumn="0" w:noHBand="0" w:noVBand="1"/>
      </w:tblPr>
      <w:tblGrid>
        <w:gridCol w:w="2122"/>
        <w:gridCol w:w="992"/>
        <w:gridCol w:w="1984"/>
        <w:gridCol w:w="993"/>
        <w:gridCol w:w="2126"/>
        <w:gridCol w:w="992"/>
      </w:tblGrid>
      <w:tr w:rsidR="00E5175F" w:rsidRPr="007341B3" w14:paraId="0C0CF4D8" w14:textId="77777777" w:rsidTr="00CF1877">
        <w:tc>
          <w:tcPr>
            <w:tcW w:w="2122" w:type="dxa"/>
            <w:shd w:val="clear" w:color="auto" w:fill="auto"/>
            <w:vAlign w:val="center"/>
          </w:tcPr>
          <w:p w14:paraId="0EBA3A95" w14:textId="4F72F812" w:rsidR="00E5175F" w:rsidRPr="00C20702" w:rsidRDefault="00E5175F" w:rsidP="00E5175F">
            <w:pPr>
              <w:spacing w:after="120"/>
              <w:rPr>
                <w:sz w:val="22"/>
                <w:szCs w:val="22"/>
                <w:lang w:val="en-US"/>
              </w:rPr>
            </w:pPr>
            <w:r w:rsidRPr="00C20702">
              <w:rPr>
                <w:sz w:val="22"/>
                <w:szCs w:val="22"/>
                <w:lang w:val="en-US"/>
              </w:rPr>
              <w:t>Basque government</w:t>
            </w:r>
          </w:p>
        </w:tc>
        <w:tc>
          <w:tcPr>
            <w:tcW w:w="992" w:type="dxa"/>
            <w:vAlign w:val="center"/>
          </w:tcPr>
          <w:p w14:paraId="196617BC" w14:textId="6C016899" w:rsidR="00E5175F" w:rsidRPr="007341B3" w:rsidRDefault="00E5175F" w:rsidP="00E5175F">
            <w:pPr>
              <w:spacing w:after="120"/>
              <w:rPr>
                <w:lang w:val="en-US"/>
              </w:rPr>
            </w:pPr>
            <w:r>
              <w:rPr>
                <w:noProof/>
                <w:lang w:val="et-EE" w:eastAsia="et-EE"/>
              </w:rPr>
              <w:drawing>
                <wp:inline distT="0" distB="0" distL="0" distR="0" wp14:anchorId="7119B659" wp14:editId="76D4DBA1">
                  <wp:extent cx="347881" cy="234087"/>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835" cy="239439"/>
                          </a:xfrm>
                          <a:prstGeom prst="rect">
                            <a:avLst/>
                          </a:prstGeom>
                          <a:noFill/>
                        </pic:spPr>
                      </pic:pic>
                    </a:graphicData>
                  </a:graphic>
                </wp:inline>
              </w:drawing>
            </w:r>
          </w:p>
        </w:tc>
        <w:tc>
          <w:tcPr>
            <w:tcW w:w="1984" w:type="dxa"/>
            <w:shd w:val="clear" w:color="auto" w:fill="auto"/>
            <w:vAlign w:val="center"/>
          </w:tcPr>
          <w:p w14:paraId="7CA94436" w14:textId="35B2921C" w:rsidR="00E5175F" w:rsidRPr="00C20702" w:rsidRDefault="00E5175F" w:rsidP="00E5175F">
            <w:pPr>
              <w:spacing w:after="120"/>
              <w:rPr>
                <w:sz w:val="22"/>
                <w:szCs w:val="22"/>
                <w:lang w:val="en-US"/>
              </w:rPr>
            </w:pPr>
            <w:r w:rsidRPr="00C20702">
              <w:rPr>
                <w:sz w:val="22"/>
                <w:szCs w:val="22"/>
                <w:lang w:val="en-US"/>
              </w:rPr>
              <w:t>Hungary </w:t>
            </w:r>
          </w:p>
        </w:tc>
        <w:tc>
          <w:tcPr>
            <w:tcW w:w="993" w:type="dxa"/>
            <w:vAlign w:val="center"/>
          </w:tcPr>
          <w:p w14:paraId="04AABF4F" w14:textId="1E9C05C1" w:rsidR="00E5175F" w:rsidRPr="007341B3" w:rsidRDefault="00E5175F" w:rsidP="00E5175F">
            <w:pPr>
              <w:spacing w:after="120"/>
              <w:rPr>
                <w:lang w:val="en-US"/>
              </w:rPr>
            </w:pPr>
            <w:r>
              <w:rPr>
                <w:noProof/>
                <w:lang w:val="et-EE" w:eastAsia="et-EE"/>
              </w:rPr>
              <w:drawing>
                <wp:inline distT="0" distB="0" distL="0" distR="0" wp14:anchorId="62957ED3" wp14:editId="133D4D17">
                  <wp:extent cx="391395" cy="266700"/>
                  <wp:effectExtent l="0" t="0" r="889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849" cy="272461"/>
                          </a:xfrm>
                          <a:prstGeom prst="rect">
                            <a:avLst/>
                          </a:prstGeom>
                          <a:noFill/>
                        </pic:spPr>
                      </pic:pic>
                    </a:graphicData>
                  </a:graphic>
                </wp:inline>
              </w:drawing>
            </w:r>
          </w:p>
        </w:tc>
        <w:tc>
          <w:tcPr>
            <w:tcW w:w="2126" w:type="dxa"/>
            <w:shd w:val="clear" w:color="auto" w:fill="auto"/>
            <w:vAlign w:val="center"/>
          </w:tcPr>
          <w:p w14:paraId="2579FE8F" w14:textId="73583C0B" w:rsidR="00E5175F" w:rsidRPr="00C20702" w:rsidRDefault="00E5175F" w:rsidP="00E5175F">
            <w:pPr>
              <w:spacing w:after="120"/>
              <w:rPr>
                <w:sz w:val="22"/>
                <w:szCs w:val="22"/>
                <w:lang w:val="en-US"/>
              </w:rPr>
            </w:pPr>
            <w:r w:rsidRPr="00C20702">
              <w:rPr>
                <w:sz w:val="22"/>
                <w:szCs w:val="22"/>
                <w:lang w:val="en-US"/>
              </w:rPr>
              <w:t>Romania</w:t>
            </w:r>
          </w:p>
        </w:tc>
        <w:tc>
          <w:tcPr>
            <w:tcW w:w="992" w:type="dxa"/>
          </w:tcPr>
          <w:p w14:paraId="54278B04" w14:textId="1B045D98" w:rsidR="00E5175F" w:rsidRPr="007341B3" w:rsidRDefault="00E5175F" w:rsidP="00E5175F">
            <w:pPr>
              <w:spacing w:after="120"/>
              <w:rPr>
                <w:lang w:val="en-US"/>
              </w:rPr>
            </w:pPr>
            <w:r>
              <w:rPr>
                <w:noProof/>
                <w:lang w:val="et-EE" w:eastAsia="et-EE"/>
              </w:rPr>
              <w:drawing>
                <wp:inline distT="0" distB="0" distL="0" distR="0" wp14:anchorId="118763C4" wp14:editId="14AA6D8B">
                  <wp:extent cx="339498" cy="228600"/>
                  <wp:effectExtent l="0" t="0" r="381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513" cy="229284"/>
                          </a:xfrm>
                          <a:prstGeom prst="rect">
                            <a:avLst/>
                          </a:prstGeom>
                          <a:noFill/>
                        </pic:spPr>
                      </pic:pic>
                    </a:graphicData>
                  </a:graphic>
                </wp:inline>
              </w:drawing>
            </w:r>
          </w:p>
        </w:tc>
      </w:tr>
      <w:tr w:rsidR="00E5175F" w:rsidRPr="007341B3" w14:paraId="765A29F1" w14:textId="77777777" w:rsidTr="00CF1877">
        <w:tc>
          <w:tcPr>
            <w:tcW w:w="2122" w:type="dxa"/>
            <w:shd w:val="clear" w:color="auto" w:fill="auto"/>
            <w:vAlign w:val="center"/>
          </w:tcPr>
          <w:p w14:paraId="6819B485" w14:textId="7D782755" w:rsidR="00E5175F" w:rsidRPr="00C20702" w:rsidRDefault="00E5175F" w:rsidP="00E5175F">
            <w:pPr>
              <w:spacing w:after="120"/>
              <w:rPr>
                <w:sz w:val="22"/>
                <w:szCs w:val="22"/>
                <w:lang w:val="en-US"/>
              </w:rPr>
            </w:pPr>
            <w:r w:rsidRPr="00C20702">
              <w:rPr>
                <w:sz w:val="22"/>
                <w:szCs w:val="22"/>
                <w:lang w:val="en-US"/>
              </w:rPr>
              <w:t>Belgium, Flanders</w:t>
            </w:r>
          </w:p>
        </w:tc>
        <w:tc>
          <w:tcPr>
            <w:tcW w:w="992" w:type="dxa"/>
            <w:vAlign w:val="center"/>
          </w:tcPr>
          <w:p w14:paraId="3D2F390B" w14:textId="0BDAFF51" w:rsidR="00E5175F" w:rsidRPr="007341B3" w:rsidRDefault="00E5175F" w:rsidP="00E5175F">
            <w:pPr>
              <w:spacing w:after="120"/>
              <w:rPr>
                <w:lang w:val="en-US"/>
              </w:rPr>
            </w:pPr>
            <w:r>
              <w:rPr>
                <w:noProof/>
                <w:lang w:val="et-EE" w:eastAsia="et-EE"/>
              </w:rPr>
              <w:drawing>
                <wp:inline distT="0" distB="0" distL="0" distR="0" wp14:anchorId="394908C9" wp14:editId="12BEA4C0">
                  <wp:extent cx="362712" cy="248717"/>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166" cy="249714"/>
                          </a:xfrm>
                          <a:prstGeom prst="rect">
                            <a:avLst/>
                          </a:prstGeom>
                          <a:noFill/>
                        </pic:spPr>
                      </pic:pic>
                    </a:graphicData>
                  </a:graphic>
                </wp:inline>
              </w:drawing>
            </w:r>
          </w:p>
        </w:tc>
        <w:tc>
          <w:tcPr>
            <w:tcW w:w="1984" w:type="dxa"/>
            <w:shd w:val="clear" w:color="auto" w:fill="auto"/>
            <w:vAlign w:val="center"/>
          </w:tcPr>
          <w:p w14:paraId="57AC35F5" w14:textId="5D3505A8" w:rsidR="00E5175F" w:rsidRPr="00C20702" w:rsidRDefault="00E5175F" w:rsidP="00E5175F">
            <w:pPr>
              <w:spacing w:after="120"/>
              <w:rPr>
                <w:sz w:val="22"/>
                <w:szCs w:val="22"/>
                <w:lang w:val="en-US"/>
              </w:rPr>
            </w:pPr>
            <w:r w:rsidRPr="00C20702">
              <w:rPr>
                <w:sz w:val="22"/>
                <w:szCs w:val="22"/>
                <w:lang w:val="en-US"/>
              </w:rPr>
              <w:t>Ireland</w:t>
            </w:r>
          </w:p>
        </w:tc>
        <w:tc>
          <w:tcPr>
            <w:tcW w:w="993" w:type="dxa"/>
            <w:vAlign w:val="center"/>
          </w:tcPr>
          <w:p w14:paraId="049EE57A" w14:textId="5626ED13" w:rsidR="00E5175F" w:rsidRPr="007341B3" w:rsidRDefault="00E5175F" w:rsidP="00E5175F">
            <w:pPr>
              <w:spacing w:after="120"/>
              <w:rPr>
                <w:lang w:val="en-US"/>
              </w:rPr>
            </w:pPr>
            <w:r>
              <w:rPr>
                <w:noProof/>
                <w:lang w:val="et-EE" w:eastAsia="et-EE"/>
              </w:rPr>
              <w:drawing>
                <wp:inline distT="0" distB="0" distL="0" distR="0" wp14:anchorId="2E61D316" wp14:editId="3C3FDF2C">
                  <wp:extent cx="372110" cy="250559"/>
                  <wp:effectExtent l="0" t="0" r="889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379" cy="253433"/>
                          </a:xfrm>
                          <a:prstGeom prst="rect">
                            <a:avLst/>
                          </a:prstGeom>
                          <a:noFill/>
                        </pic:spPr>
                      </pic:pic>
                    </a:graphicData>
                  </a:graphic>
                </wp:inline>
              </w:drawing>
            </w:r>
          </w:p>
        </w:tc>
        <w:tc>
          <w:tcPr>
            <w:tcW w:w="2126" w:type="dxa"/>
            <w:shd w:val="clear" w:color="auto" w:fill="auto"/>
            <w:vAlign w:val="center"/>
          </w:tcPr>
          <w:p w14:paraId="5ED63B41" w14:textId="4F8A26D6" w:rsidR="00E5175F" w:rsidRPr="00C20702" w:rsidRDefault="00E5175F" w:rsidP="00E5175F">
            <w:pPr>
              <w:spacing w:after="120"/>
              <w:rPr>
                <w:sz w:val="22"/>
                <w:szCs w:val="22"/>
                <w:lang w:val="en-US"/>
              </w:rPr>
            </w:pPr>
            <w:r w:rsidRPr="00C20702">
              <w:rPr>
                <w:sz w:val="22"/>
                <w:szCs w:val="22"/>
                <w:lang w:val="en-US"/>
              </w:rPr>
              <w:t>Slovakia</w:t>
            </w:r>
          </w:p>
        </w:tc>
        <w:tc>
          <w:tcPr>
            <w:tcW w:w="992" w:type="dxa"/>
          </w:tcPr>
          <w:p w14:paraId="5BAC26D2" w14:textId="0200B4DD" w:rsidR="00E5175F" w:rsidRPr="007341B3" w:rsidRDefault="00E5175F" w:rsidP="00E5175F">
            <w:pPr>
              <w:spacing w:after="120"/>
              <w:rPr>
                <w:lang w:val="en-US"/>
              </w:rPr>
            </w:pPr>
            <w:r w:rsidRPr="007341B3">
              <w:rPr>
                <w:noProof/>
                <w:lang w:val="et-EE" w:eastAsia="et-EE"/>
              </w:rPr>
              <w:drawing>
                <wp:inline distT="0" distB="0" distL="0" distR="0" wp14:anchorId="702742F2" wp14:editId="171C0520">
                  <wp:extent cx="355600" cy="239442"/>
                  <wp:effectExtent l="0" t="0" r="635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70" cy="239489"/>
                          </a:xfrm>
                          <a:prstGeom prst="rect">
                            <a:avLst/>
                          </a:prstGeom>
                          <a:noFill/>
                        </pic:spPr>
                      </pic:pic>
                    </a:graphicData>
                  </a:graphic>
                </wp:inline>
              </w:drawing>
            </w:r>
          </w:p>
        </w:tc>
      </w:tr>
      <w:tr w:rsidR="00E5175F" w:rsidRPr="007341B3" w14:paraId="70CBAD51" w14:textId="77777777" w:rsidTr="00CF1877">
        <w:tc>
          <w:tcPr>
            <w:tcW w:w="2122" w:type="dxa"/>
            <w:shd w:val="clear" w:color="auto" w:fill="auto"/>
            <w:vAlign w:val="center"/>
          </w:tcPr>
          <w:p w14:paraId="7C07F2B7" w14:textId="0589D25B" w:rsidR="00E5175F" w:rsidRPr="00C20702" w:rsidRDefault="00E5175F" w:rsidP="00E5175F">
            <w:pPr>
              <w:spacing w:after="120"/>
              <w:rPr>
                <w:sz w:val="22"/>
                <w:szCs w:val="22"/>
                <w:lang w:val="en-US"/>
              </w:rPr>
            </w:pPr>
            <w:r w:rsidRPr="00C20702">
              <w:rPr>
                <w:sz w:val="22"/>
                <w:szCs w:val="22"/>
                <w:lang w:val="en-US"/>
              </w:rPr>
              <w:t>Bulgaria</w:t>
            </w:r>
          </w:p>
        </w:tc>
        <w:tc>
          <w:tcPr>
            <w:tcW w:w="992" w:type="dxa"/>
            <w:vAlign w:val="center"/>
          </w:tcPr>
          <w:p w14:paraId="57F75389" w14:textId="74B37839" w:rsidR="00E5175F" w:rsidRPr="007341B3" w:rsidRDefault="00E5175F" w:rsidP="00E5175F">
            <w:pPr>
              <w:spacing w:after="120"/>
              <w:rPr>
                <w:lang w:val="en-US"/>
              </w:rPr>
            </w:pPr>
            <w:r>
              <w:rPr>
                <w:noProof/>
                <w:lang w:val="et-EE" w:eastAsia="et-EE"/>
              </w:rPr>
              <w:drawing>
                <wp:inline distT="0" distB="0" distL="0" distR="0" wp14:anchorId="619E7F8B" wp14:editId="52301115">
                  <wp:extent cx="362585" cy="239578"/>
                  <wp:effectExtent l="0" t="0" r="0" b="825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074" cy="240562"/>
                          </a:xfrm>
                          <a:prstGeom prst="rect">
                            <a:avLst/>
                          </a:prstGeom>
                          <a:noFill/>
                        </pic:spPr>
                      </pic:pic>
                    </a:graphicData>
                  </a:graphic>
                </wp:inline>
              </w:drawing>
            </w:r>
          </w:p>
        </w:tc>
        <w:tc>
          <w:tcPr>
            <w:tcW w:w="1984" w:type="dxa"/>
            <w:shd w:val="clear" w:color="auto" w:fill="auto"/>
            <w:vAlign w:val="center"/>
          </w:tcPr>
          <w:p w14:paraId="464C8EC1" w14:textId="63BF5456" w:rsidR="00E5175F" w:rsidRPr="00C20702" w:rsidRDefault="00E5175F" w:rsidP="00E5175F">
            <w:pPr>
              <w:spacing w:after="120"/>
              <w:rPr>
                <w:sz w:val="22"/>
                <w:szCs w:val="22"/>
                <w:lang w:val="en-US"/>
              </w:rPr>
            </w:pPr>
            <w:r w:rsidRPr="00C20702">
              <w:rPr>
                <w:sz w:val="22"/>
                <w:szCs w:val="22"/>
                <w:lang w:val="en-US"/>
              </w:rPr>
              <w:t>Italy</w:t>
            </w:r>
          </w:p>
        </w:tc>
        <w:tc>
          <w:tcPr>
            <w:tcW w:w="993" w:type="dxa"/>
            <w:vAlign w:val="center"/>
          </w:tcPr>
          <w:p w14:paraId="020D4FBE" w14:textId="3E135A42" w:rsidR="00E5175F" w:rsidRPr="007341B3" w:rsidRDefault="00E5175F" w:rsidP="00E5175F">
            <w:pPr>
              <w:spacing w:after="120"/>
              <w:rPr>
                <w:lang w:val="en-US"/>
              </w:rPr>
            </w:pPr>
            <w:r>
              <w:rPr>
                <w:noProof/>
                <w:lang w:val="et-EE" w:eastAsia="et-EE"/>
              </w:rPr>
              <w:drawing>
                <wp:inline distT="0" distB="0" distL="0" distR="0" wp14:anchorId="077A68DA" wp14:editId="125C247A">
                  <wp:extent cx="371475" cy="224721"/>
                  <wp:effectExtent l="19050" t="19050" r="9525" b="234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555" cy="232634"/>
                          </a:xfrm>
                          <a:prstGeom prst="rect">
                            <a:avLst/>
                          </a:prstGeom>
                          <a:noFill/>
                          <a:ln w="12700">
                            <a:solidFill>
                              <a:sysClr val="windowText" lastClr="000000"/>
                            </a:solidFill>
                          </a:ln>
                        </pic:spPr>
                      </pic:pic>
                    </a:graphicData>
                  </a:graphic>
                </wp:inline>
              </w:drawing>
            </w:r>
          </w:p>
        </w:tc>
        <w:tc>
          <w:tcPr>
            <w:tcW w:w="2126" w:type="dxa"/>
            <w:shd w:val="clear" w:color="auto" w:fill="auto"/>
            <w:vAlign w:val="center"/>
          </w:tcPr>
          <w:p w14:paraId="53B8E664" w14:textId="43DA2267" w:rsidR="00E5175F" w:rsidRPr="00C20702" w:rsidRDefault="00E5175F" w:rsidP="00E5175F">
            <w:pPr>
              <w:spacing w:after="120"/>
              <w:rPr>
                <w:sz w:val="22"/>
                <w:szCs w:val="22"/>
                <w:lang w:val="en-US"/>
              </w:rPr>
            </w:pPr>
            <w:r w:rsidRPr="00C20702">
              <w:rPr>
                <w:sz w:val="22"/>
                <w:szCs w:val="22"/>
                <w:lang w:val="en-US"/>
              </w:rPr>
              <w:t>Spain</w:t>
            </w:r>
          </w:p>
        </w:tc>
        <w:tc>
          <w:tcPr>
            <w:tcW w:w="992" w:type="dxa"/>
          </w:tcPr>
          <w:p w14:paraId="776B7746" w14:textId="62A8C9FC" w:rsidR="00E5175F" w:rsidRPr="007341B3" w:rsidRDefault="00F55F5F" w:rsidP="00E5175F">
            <w:pPr>
              <w:spacing w:after="120"/>
              <w:rPr>
                <w:lang w:val="en-US"/>
              </w:rPr>
            </w:pPr>
            <w:r>
              <w:object w:dxaOrig="4050" w:dyaOrig="2805" w14:anchorId="405FE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PBrush" ShapeID="_x0000_i1025" DrawAspect="Content" ObjectID="_1672470764" r:id="rId18"/>
              </w:object>
            </w:r>
          </w:p>
        </w:tc>
      </w:tr>
      <w:tr w:rsidR="00E5175F" w:rsidRPr="007341B3" w14:paraId="3DC79437" w14:textId="77777777" w:rsidTr="00CF1877">
        <w:tc>
          <w:tcPr>
            <w:tcW w:w="2122" w:type="dxa"/>
            <w:shd w:val="clear" w:color="auto" w:fill="auto"/>
            <w:vAlign w:val="center"/>
          </w:tcPr>
          <w:p w14:paraId="50C4E40D" w14:textId="1357A4E2" w:rsidR="00E5175F" w:rsidRPr="00C20702" w:rsidRDefault="00E5175F" w:rsidP="00E5175F">
            <w:pPr>
              <w:spacing w:after="120"/>
              <w:rPr>
                <w:sz w:val="22"/>
                <w:szCs w:val="22"/>
                <w:lang w:val="en-US"/>
              </w:rPr>
            </w:pPr>
            <w:r w:rsidRPr="00C20702">
              <w:rPr>
                <w:sz w:val="22"/>
                <w:szCs w:val="22"/>
                <w:lang w:val="en-US"/>
              </w:rPr>
              <w:t>Denmark</w:t>
            </w:r>
          </w:p>
        </w:tc>
        <w:tc>
          <w:tcPr>
            <w:tcW w:w="992" w:type="dxa"/>
            <w:vAlign w:val="center"/>
          </w:tcPr>
          <w:p w14:paraId="2C6DA8A8" w14:textId="77C478C9" w:rsidR="00E5175F" w:rsidRPr="007341B3" w:rsidRDefault="00F55F5F" w:rsidP="00E5175F">
            <w:pPr>
              <w:spacing w:after="120"/>
              <w:rPr>
                <w:lang w:val="en-US"/>
              </w:rPr>
            </w:pPr>
            <w:r w:rsidRPr="007341B3">
              <w:rPr>
                <w:lang w:val="en-US"/>
              </w:rPr>
              <w:object w:dxaOrig="15195" w:dyaOrig="11520" w14:anchorId="027AEBE8">
                <v:shape id="_x0000_i1026" type="#_x0000_t75" style="width:27pt;height:20.25pt" o:ole="" o:bordertopcolor="this" o:borderleftcolor="this" o:borderbottomcolor="this" o:borderrightcolor="this">
                  <v:imagedata r:id="rId19" o:title=""/>
                  <w10:bordertop type="single" width="8"/>
                  <w10:borderleft type="single" width="8"/>
                  <w10:borderbottom type="single" width="8"/>
                  <w10:borderright type="single" width="8"/>
                </v:shape>
                <o:OLEObject Type="Embed" ProgID="PBrush" ShapeID="_x0000_i1026" DrawAspect="Content" ObjectID="_1672470765" r:id="rId20"/>
              </w:object>
            </w:r>
          </w:p>
        </w:tc>
        <w:tc>
          <w:tcPr>
            <w:tcW w:w="1984" w:type="dxa"/>
            <w:shd w:val="clear" w:color="auto" w:fill="auto"/>
            <w:vAlign w:val="center"/>
          </w:tcPr>
          <w:p w14:paraId="05EBF805" w14:textId="2D8400DE" w:rsidR="00E5175F" w:rsidRPr="00C20702" w:rsidRDefault="00E5175F" w:rsidP="00E5175F">
            <w:pPr>
              <w:spacing w:after="120"/>
              <w:rPr>
                <w:sz w:val="22"/>
                <w:szCs w:val="22"/>
                <w:lang w:val="en-US"/>
              </w:rPr>
            </w:pPr>
            <w:r w:rsidRPr="00C20702">
              <w:rPr>
                <w:sz w:val="22"/>
                <w:szCs w:val="22"/>
                <w:lang w:val="en-US"/>
              </w:rPr>
              <w:t>Latvia</w:t>
            </w:r>
          </w:p>
        </w:tc>
        <w:tc>
          <w:tcPr>
            <w:tcW w:w="993" w:type="dxa"/>
            <w:vAlign w:val="center"/>
          </w:tcPr>
          <w:p w14:paraId="48969A21" w14:textId="20673DC4" w:rsidR="00E5175F" w:rsidRPr="007341B3" w:rsidRDefault="00F55F5F" w:rsidP="00E5175F">
            <w:pPr>
              <w:spacing w:after="120"/>
              <w:rPr>
                <w:lang w:val="en-US"/>
              </w:rPr>
            </w:pPr>
            <w:r>
              <w:object w:dxaOrig="4770" w:dyaOrig="2385" w14:anchorId="62ED65F7">
                <v:shape id="_x0000_i1027" type="#_x0000_t75" style="width:30pt;height:18.7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PBrush" ShapeID="_x0000_i1027" DrawAspect="Content" ObjectID="_1672470766" r:id="rId22"/>
              </w:object>
            </w:r>
          </w:p>
        </w:tc>
        <w:tc>
          <w:tcPr>
            <w:tcW w:w="2126" w:type="dxa"/>
            <w:shd w:val="clear" w:color="auto" w:fill="auto"/>
            <w:vAlign w:val="center"/>
          </w:tcPr>
          <w:p w14:paraId="54A3B44F" w14:textId="3337EFC8" w:rsidR="00E5175F" w:rsidRPr="00C20702" w:rsidRDefault="00E5175F" w:rsidP="00E5175F">
            <w:pPr>
              <w:spacing w:after="120"/>
              <w:rPr>
                <w:sz w:val="22"/>
                <w:szCs w:val="22"/>
                <w:lang w:val="en-US"/>
              </w:rPr>
            </w:pPr>
            <w:r w:rsidRPr="00C20702">
              <w:rPr>
                <w:sz w:val="22"/>
                <w:szCs w:val="22"/>
                <w:lang w:val="en-US"/>
              </w:rPr>
              <w:t>The Netherlands</w:t>
            </w:r>
          </w:p>
        </w:tc>
        <w:tc>
          <w:tcPr>
            <w:tcW w:w="992" w:type="dxa"/>
          </w:tcPr>
          <w:p w14:paraId="2749301D" w14:textId="03F6A307" w:rsidR="00E5175F" w:rsidRPr="007341B3" w:rsidRDefault="00E5175F" w:rsidP="00E5175F">
            <w:pPr>
              <w:spacing w:after="120"/>
              <w:rPr>
                <w:lang w:val="en-US"/>
              </w:rPr>
            </w:pPr>
            <w:r>
              <w:rPr>
                <w:noProof/>
                <w:lang w:val="et-EE" w:eastAsia="et-EE"/>
              </w:rPr>
              <w:drawing>
                <wp:inline distT="0" distB="0" distL="0" distR="0" wp14:anchorId="27D8EF14" wp14:editId="5CF951C7">
                  <wp:extent cx="353644" cy="238125"/>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417" cy="239319"/>
                          </a:xfrm>
                          <a:prstGeom prst="rect">
                            <a:avLst/>
                          </a:prstGeom>
                          <a:noFill/>
                        </pic:spPr>
                      </pic:pic>
                    </a:graphicData>
                  </a:graphic>
                </wp:inline>
              </w:drawing>
            </w:r>
          </w:p>
        </w:tc>
      </w:tr>
      <w:tr w:rsidR="00E5175F" w:rsidRPr="007341B3" w14:paraId="2BDC54C3" w14:textId="77777777" w:rsidTr="00CF1877">
        <w:tc>
          <w:tcPr>
            <w:tcW w:w="2122" w:type="dxa"/>
            <w:shd w:val="clear" w:color="auto" w:fill="auto"/>
            <w:vAlign w:val="center"/>
          </w:tcPr>
          <w:p w14:paraId="2C8DC6FE" w14:textId="245D31F1" w:rsidR="00E5175F" w:rsidRPr="00C20702" w:rsidRDefault="00E5175F" w:rsidP="00E5175F">
            <w:pPr>
              <w:spacing w:after="120"/>
              <w:rPr>
                <w:sz w:val="22"/>
                <w:szCs w:val="22"/>
                <w:lang w:val="en-US"/>
              </w:rPr>
            </w:pPr>
            <w:r w:rsidRPr="00C20702">
              <w:rPr>
                <w:sz w:val="22"/>
                <w:szCs w:val="22"/>
                <w:lang w:val="en-US"/>
              </w:rPr>
              <w:t>Estonia</w:t>
            </w:r>
          </w:p>
        </w:tc>
        <w:tc>
          <w:tcPr>
            <w:tcW w:w="992" w:type="dxa"/>
            <w:vAlign w:val="center"/>
          </w:tcPr>
          <w:p w14:paraId="5617BCEA" w14:textId="03DD8AD8" w:rsidR="00E5175F" w:rsidRPr="007341B3" w:rsidRDefault="00F55F5F" w:rsidP="00E5175F">
            <w:pPr>
              <w:spacing w:after="120"/>
              <w:rPr>
                <w:lang w:val="en-US"/>
              </w:rPr>
            </w:pPr>
            <w:r w:rsidRPr="007341B3">
              <w:rPr>
                <w:lang w:val="en-US"/>
              </w:rPr>
              <w:object w:dxaOrig="4230" w:dyaOrig="2685" w14:anchorId="6075FAAC">
                <v:shape id="_x0000_i1028" type="#_x0000_t75" style="width:29.25pt;height:18.75pt" o:ole="" o:bordertopcolor="this" o:borderleftcolor="this" o:borderbottomcolor="this" o:borderrightcolor="this">
                  <v:imagedata r:id="rId24" o:title=""/>
                  <w10:bordertop type="single" width="8"/>
                  <w10:borderleft type="single" width="8"/>
                  <w10:borderbottom type="single" width="8"/>
                  <w10:borderright type="single" width="8"/>
                </v:shape>
                <o:OLEObject Type="Embed" ProgID="PBrush" ShapeID="_x0000_i1028" DrawAspect="Content" ObjectID="_1672470767" r:id="rId25"/>
              </w:object>
            </w:r>
          </w:p>
        </w:tc>
        <w:tc>
          <w:tcPr>
            <w:tcW w:w="1984" w:type="dxa"/>
            <w:shd w:val="clear" w:color="auto" w:fill="auto"/>
            <w:vAlign w:val="center"/>
          </w:tcPr>
          <w:p w14:paraId="67B73126" w14:textId="07A0652E" w:rsidR="00E5175F" w:rsidRPr="00C20702" w:rsidRDefault="00E5175F" w:rsidP="00E5175F">
            <w:pPr>
              <w:spacing w:after="120"/>
              <w:rPr>
                <w:sz w:val="22"/>
                <w:szCs w:val="22"/>
                <w:lang w:val="en-US"/>
              </w:rPr>
            </w:pPr>
            <w:r w:rsidRPr="00C20702">
              <w:rPr>
                <w:sz w:val="22"/>
                <w:szCs w:val="22"/>
                <w:lang w:val="en-US"/>
              </w:rPr>
              <w:t>Lithuania </w:t>
            </w:r>
          </w:p>
        </w:tc>
        <w:tc>
          <w:tcPr>
            <w:tcW w:w="993" w:type="dxa"/>
            <w:vAlign w:val="center"/>
          </w:tcPr>
          <w:p w14:paraId="79E57E54" w14:textId="4C8FB664" w:rsidR="00E5175F" w:rsidRPr="007341B3" w:rsidRDefault="00E5175F" w:rsidP="00E5175F">
            <w:pPr>
              <w:spacing w:after="120"/>
              <w:rPr>
                <w:lang w:val="en-US"/>
              </w:rPr>
            </w:pPr>
            <w:r w:rsidRPr="007341B3">
              <w:rPr>
                <w:noProof/>
                <w:lang w:val="et-EE" w:eastAsia="et-EE"/>
              </w:rPr>
              <w:drawing>
                <wp:inline distT="0" distB="0" distL="0" distR="0" wp14:anchorId="4054F1FF" wp14:editId="1BA390EF">
                  <wp:extent cx="353060" cy="235088"/>
                  <wp:effectExtent l="19050" t="19050" r="27940" b="12700"/>
                  <wp:docPr id="10"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V="1">
                            <a:off x="0" y="0"/>
                            <a:ext cx="385702" cy="256823"/>
                          </a:xfrm>
                          <a:prstGeom prst="rect">
                            <a:avLst/>
                          </a:prstGeom>
                          <a:noFill/>
                          <a:ln w="12700">
                            <a:solidFill>
                              <a:sysClr val="windowText" lastClr="000000"/>
                            </a:solidFill>
                          </a:ln>
                        </pic:spPr>
                      </pic:pic>
                    </a:graphicData>
                  </a:graphic>
                </wp:inline>
              </w:drawing>
            </w:r>
          </w:p>
        </w:tc>
        <w:tc>
          <w:tcPr>
            <w:tcW w:w="2126" w:type="dxa"/>
            <w:shd w:val="clear" w:color="auto" w:fill="auto"/>
            <w:vAlign w:val="center"/>
          </w:tcPr>
          <w:p w14:paraId="742C628F" w14:textId="4DF961F7" w:rsidR="00E5175F" w:rsidRPr="00C20702" w:rsidRDefault="00E5175F" w:rsidP="00E5175F">
            <w:pPr>
              <w:spacing w:after="120"/>
              <w:rPr>
                <w:sz w:val="22"/>
                <w:szCs w:val="22"/>
                <w:lang w:val="en-US"/>
              </w:rPr>
            </w:pPr>
            <w:r w:rsidRPr="00C20702">
              <w:rPr>
                <w:sz w:val="22"/>
                <w:szCs w:val="22"/>
                <w:lang w:val="en-US"/>
              </w:rPr>
              <w:t>Turkey</w:t>
            </w:r>
          </w:p>
        </w:tc>
        <w:tc>
          <w:tcPr>
            <w:tcW w:w="992" w:type="dxa"/>
          </w:tcPr>
          <w:p w14:paraId="65CE0680" w14:textId="5E9D3AB9" w:rsidR="00E5175F" w:rsidRPr="007341B3" w:rsidRDefault="00E5175F" w:rsidP="00E5175F">
            <w:pPr>
              <w:spacing w:after="120"/>
              <w:rPr>
                <w:lang w:val="en-US"/>
              </w:rPr>
            </w:pPr>
            <w:r w:rsidRPr="000F4AC2">
              <w:rPr>
                <w:noProof/>
                <w:lang w:val="et-EE" w:eastAsia="et-EE"/>
              </w:rPr>
              <w:drawing>
                <wp:inline distT="0" distB="0" distL="0" distR="0" wp14:anchorId="50E2A3D9" wp14:editId="7809E2DA">
                  <wp:extent cx="356089" cy="228600"/>
                  <wp:effectExtent l="19050" t="19050" r="25400" b="19050"/>
                  <wp:docPr id="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7553" cy="229540"/>
                          </a:xfrm>
                          <a:prstGeom prst="rect">
                            <a:avLst/>
                          </a:prstGeom>
                          <a:noFill/>
                          <a:ln w="12700">
                            <a:solidFill>
                              <a:schemeClr val="tx1"/>
                            </a:solidFill>
                          </a:ln>
                        </pic:spPr>
                      </pic:pic>
                    </a:graphicData>
                  </a:graphic>
                </wp:inline>
              </w:drawing>
            </w:r>
          </w:p>
        </w:tc>
      </w:tr>
      <w:tr w:rsidR="00E5175F" w:rsidRPr="007341B3" w14:paraId="13BA5ABB" w14:textId="77777777" w:rsidTr="00CF1877">
        <w:tc>
          <w:tcPr>
            <w:tcW w:w="2122" w:type="dxa"/>
            <w:shd w:val="clear" w:color="auto" w:fill="auto"/>
            <w:vAlign w:val="center"/>
          </w:tcPr>
          <w:p w14:paraId="3EAC84C5" w14:textId="2651BB1A" w:rsidR="00E5175F" w:rsidRPr="00C20702" w:rsidRDefault="00E5175F" w:rsidP="00E5175F">
            <w:pPr>
              <w:spacing w:after="120"/>
              <w:rPr>
                <w:sz w:val="22"/>
                <w:szCs w:val="22"/>
                <w:lang w:val="en-US"/>
              </w:rPr>
            </w:pPr>
            <w:r w:rsidRPr="00C20702">
              <w:rPr>
                <w:sz w:val="22"/>
                <w:szCs w:val="22"/>
                <w:lang w:val="en-US"/>
              </w:rPr>
              <w:t>Finland </w:t>
            </w:r>
          </w:p>
        </w:tc>
        <w:tc>
          <w:tcPr>
            <w:tcW w:w="992" w:type="dxa"/>
            <w:vAlign w:val="center"/>
          </w:tcPr>
          <w:p w14:paraId="7B6E61CA" w14:textId="49D0D1B9" w:rsidR="00E5175F" w:rsidRPr="007341B3" w:rsidRDefault="00E5175F" w:rsidP="00E5175F">
            <w:pPr>
              <w:spacing w:after="120"/>
              <w:rPr>
                <w:lang w:val="en-US"/>
              </w:rPr>
            </w:pPr>
            <w:r w:rsidRPr="007341B3">
              <w:rPr>
                <w:noProof/>
                <w:lang w:val="et-EE" w:eastAsia="et-EE"/>
              </w:rPr>
              <w:drawing>
                <wp:inline distT="0" distB="0" distL="0" distR="0" wp14:anchorId="6B0A7E05" wp14:editId="6BF00DBA">
                  <wp:extent cx="322383" cy="190500"/>
                  <wp:effectExtent l="19050" t="19050" r="20955" b="190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8286" cy="199897"/>
                          </a:xfrm>
                          <a:prstGeom prst="rect">
                            <a:avLst/>
                          </a:prstGeom>
                          <a:noFill/>
                          <a:ln w="12700">
                            <a:solidFill>
                              <a:sysClr val="windowText" lastClr="000000"/>
                            </a:solidFill>
                          </a:ln>
                        </pic:spPr>
                      </pic:pic>
                    </a:graphicData>
                  </a:graphic>
                </wp:inline>
              </w:drawing>
            </w:r>
          </w:p>
        </w:tc>
        <w:tc>
          <w:tcPr>
            <w:tcW w:w="1984" w:type="dxa"/>
            <w:shd w:val="clear" w:color="auto" w:fill="auto"/>
            <w:vAlign w:val="center"/>
          </w:tcPr>
          <w:p w14:paraId="54AA759F" w14:textId="2F563F13" w:rsidR="00E5175F" w:rsidRPr="00C20702" w:rsidRDefault="00E5175F" w:rsidP="00E5175F">
            <w:pPr>
              <w:spacing w:after="120"/>
              <w:rPr>
                <w:sz w:val="22"/>
                <w:szCs w:val="22"/>
                <w:lang w:val="en-US"/>
              </w:rPr>
            </w:pPr>
            <w:r w:rsidRPr="00C20702">
              <w:rPr>
                <w:sz w:val="22"/>
                <w:szCs w:val="22"/>
                <w:lang w:val="en-US"/>
              </w:rPr>
              <w:t>New Zealand</w:t>
            </w:r>
          </w:p>
        </w:tc>
        <w:tc>
          <w:tcPr>
            <w:tcW w:w="993" w:type="dxa"/>
            <w:vAlign w:val="center"/>
          </w:tcPr>
          <w:p w14:paraId="2A6F3CB0" w14:textId="4E70A4AD" w:rsidR="00E5175F" w:rsidRPr="007341B3" w:rsidRDefault="00E5175F" w:rsidP="00E5175F">
            <w:pPr>
              <w:spacing w:after="120"/>
              <w:rPr>
                <w:lang w:val="en-US"/>
              </w:rPr>
            </w:pPr>
            <w:r>
              <w:rPr>
                <w:noProof/>
                <w:lang w:val="et-EE" w:eastAsia="et-EE"/>
              </w:rPr>
              <w:drawing>
                <wp:inline distT="0" distB="0" distL="0" distR="0" wp14:anchorId="2D3FD698" wp14:editId="6A32092B">
                  <wp:extent cx="372235" cy="247650"/>
                  <wp:effectExtent l="0" t="0" r="889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580" cy="249210"/>
                          </a:xfrm>
                          <a:prstGeom prst="rect">
                            <a:avLst/>
                          </a:prstGeom>
                          <a:noFill/>
                        </pic:spPr>
                      </pic:pic>
                    </a:graphicData>
                  </a:graphic>
                </wp:inline>
              </w:drawing>
            </w:r>
          </w:p>
        </w:tc>
        <w:tc>
          <w:tcPr>
            <w:tcW w:w="2126" w:type="dxa"/>
            <w:shd w:val="clear" w:color="auto" w:fill="auto"/>
            <w:vAlign w:val="center"/>
          </w:tcPr>
          <w:p w14:paraId="0878034F" w14:textId="7EABCFB4" w:rsidR="00E5175F" w:rsidRPr="00C20702" w:rsidRDefault="00E5175F" w:rsidP="00E5175F">
            <w:pPr>
              <w:spacing w:after="120"/>
              <w:rPr>
                <w:sz w:val="22"/>
                <w:szCs w:val="22"/>
                <w:lang w:val="en-US"/>
              </w:rPr>
            </w:pPr>
            <w:r w:rsidRPr="00C20702">
              <w:rPr>
                <w:sz w:val="22"/>
                <w:szCs w:val="22"/>
                <w:lang w:val="en-US"/>
              </w:rPr>
              <w:t>UK</w:t>
            </w:r>
          </w:p>
        </w:tc>
        <w:tc>
          <w:tcPr>
            <w:tcW w:w="992" w:type="dxa"/>
          </w:tcPr>
          <w:p w14:paraId="7F23993B" w14:textId="2D3D5B88" w:rsidR="00E5175F" w:rsidRPr="007341B3" w:rsidRDefault="00E5175F" w:rsidP="00E5175F">
            <w:pPr>
              <w:spacing w:after="120"/>
              <w:rPr>
                <w:lang w:val="en-US"/>
              </w:rPr>
            </w:pPr>
            <w:r w:rsidRPr="007341B3">
              <w:rPr>
                <w:noProof/>
                <w:lang w:val="et-EE" w:eastAsia="et-EE"/>
              </w:rPr>
              <w:drawing>
                <wp:inline distT="0" distB="0" distL="0" distR="0" wp14:anchorId="3A9D38ED" wp14:editId="6FAE8844">
                  <wp:extent cx="356086" cy="219075"/>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168" cy="219741"/>
                          </a:xfrm>
                          <a:prstGeom prst="rect">
                            <a:avLst/>
                          </a:prstGeom>
                          <a:noFill/>
                        </pic:spPr>
                      </pic:pic>
                    </a:graphicData>
                  </a:graphic>
                </wp:inline>
              </w:drawing>
            </w:r>
          </w:p>
        </w:tc>
      </w:tr>
      <w:tr w:rsidR="00E5175F" w:rsidRPr="007341B3" w14:paraId="7D17229E" w14:textId="77777777" w:rsidTr="00CF1877">
        <w:tc>
          <w:tcPr>
            <w:tcW w:w="2122" w:type="dxa"/>
            <w:shd w:val="clear" w:color="auto" w:fill="auto"/>
            <w:vAlign w:val="center"/>
          </w:tcPr>
          <w:p w14:paraId="5FDD3C03" w14:textId="6BB50895" w:rsidR="00E5175F" w:rsidRPr="00C20702" w:rsidRDefault="00E5175F" w:rsidP="00E5175F">
            <w:pPr>
              <w:spacing w:after="120"/>
              <w:rPr>
                <w:sz w:val="22"/>
                <w:szCs w:val="22"/>
                <w:lang w:val="en-US"/>
              </w:rPr>
            </w:pPr>
            <w:r w:rsidRPr="00C20702">
              <w:rPr>
                <w:sz w:val="22"/>
                <w:szCs w:val="22"/>
                <w:lang w:val="en-US"/>
              </w:rPr>
              <w:t>France</w:t>
            </w:r>
          </w:p>
        </w:tc>
        <w:tc>
          <w:tcPr>
            <w:tcW w:w="992" w:type="dxa"/>
            <w:vAlign w:val="center"/>
          </w:tcPr>
          <w:p w14:paraId="45541A34" w14:textId="0C302728" w:rsidR="00E5175F" w:rsidRPr="007341B3" w:rsidRDefault="00E5175F" w:rsidP="00E5175F">
            <w:pPr>
              <w:spacing w:after="120"/>
              <w:rPr>
                <w:noProof/>
                <w:lang w:eastAsia="de-DE"/>
              </w:rPr>
            </w:pPr>
            <w:r>
              <w:rPr>
                <w:noProof/>
                <w:lang w:val="et-EE" w:eastAsia="et-EE"/>
              </w:rPr>
              <w:drawing>
                <wp:inline distT="0" distB="0" distL="0" distR="0" wp14:anchorId="2E5AE417" wp14:editId="6FED0B2D">
                  <wp:extent cx="316865" cy="213360"/>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6865" cy="213360"/>
                          </a:xfrm>
                          <a:prstGeom prst="rect">
                            <a:avLst/>
                          </a:prstGeom>
                          <a:noFill/>
                        </pic:spPr>
                      </pic:pic>
                    </a:graphicData>
                  </a:graphic>
                </wp:inline>
              </w:drawing>
            </w:r>
          </w:p>
        </w:tc>
        <w:tc>
          <w:tcPr>
            <w:tcW w:w="1984" w:type="dxa"/>
            <w:shd w:val="clear" w:color="auto" w:fill="auto"/>
            <w:vAlign w:val="center"/>
          </w:tcPr>
          <w:p w14:paraId="467E11EF" w14:textId="072F3FC1" w:rsidR="00E5175F" w:rsidRPr="00C20702" w:rsidRDefault="00E5175F" w:rsidP="00E5175F">
            <w:pPr>
              <w:spacing w:after="120"/>
              <w:rPr>
                <w:sz w:val="22"/>
                <w:szCs w:val="22"/>
                <w:lang w:val="en-US"/>
              </w:rPr>
            </w:pPr>
            <w:r w:rsidRPr="00C20702">
              <w:rPr>
                <w:sz w:val="22"/>
                <w:szCs w:val="22"/>
                <w:lang w:val="en-US"/>
              </w:rPr>
              <w:t>Norway</w:t>
            </w:r>
          </w:p>
        </w:tc>
        <w:tc>
          <w:tcPr>
            <w:tcW w:w="993" w:type="dxa"/>
            <w:vAlign w:val="center"/>
          </w:tcPr>
          <w:p w14:paraId="6D82DDE1" w14:textId="4C7290A9" w:rsidR="00E5175F" w:rsidRDefault="00E5175F" w:rsidP="00E5175F">
            <w:pPr>
              <w:spacing w:after="120"/>
              <w:rPr>
                <w:noProof/>
                <w:lang w:eastAsia="de-DE"/>
              </w:rPr>
            </w:pPr>
            <w:r>
              <w:rPr>
                <w:noProof/>
                <w:lang w:val="et-EE" w:eastAsia="et-EE"/>
              </w:rPr>
              <w:drawing>
                <wp:inline distT="0" distB="0" distL="0" distR="0" wp14:anchorId="62248387" wp14:editId="7758104E">
                  <wp:extent cx="333375" cy="246559"/>
                  <wp:effectExtent l="0" t="0" r="0" b="127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617" cy="246738"/>
                          </a:xfrm>
                          <a:prstGeom prst="rect">
                            <a:avLst/>
                          </a:prstGeom>
                          <a:noFill/>
                        </pic:spPr>
                      </pic:pic>
                    </a:graphicData>
                  </a:graphic>
                </wp:inline>
              </w:drawing>
            </w:r>
          </w:p>
        </w:tc>
        <w:tc>
          <w:tcPr>
            <w:tcW w:w="2126" w:type="dxa"/>
            <w:shd w:val="clear" w:color="auto" w:fill="auto"/>
            <w:vAlign w:val="center"/>
          </w:tcPr>
          <w:p w14:paraId="5086FBB2" w14:textId="77777777" w:rsidR="00E5175F" w:rsidRPr="007341B3" w:rsidRDefault="00E5175F" w:rsidP="00E5175F">
            <w:pPr>
              <w:spacing w:after="120"/>
              <w:rPr>
                <w:lang w:val="en-US"/>
              </w:rPr>
            </w:pPr>
          </w:p>
        </w:tc>
        <w:tc>
          <w:tcPr>
            <w:tcW w:w="992" w:type="dxa"/>
          </w:tcPr>
          <w:p w14:paraId="6572B859" w14:textId="77777777" w:rsidR="00E5175F" w:rsidRPr="007341B3" w:rsidRDefault="00E5175F" w:rsidP="00E5175F">
            <w:pPr>
              <w:spacing w:after="120"/>
              <w:rPr>
                <w:noProof/>
                <w:lang w:eastAsia="de-DE"/>
              </w:rPr>
            </w:pPr>
          </w:p>
        </w:tc>
      </w:tr>
      <w:tr w:rsidR="00E5175F" w:rsidRPr="007341B3" w14:paraId="312DFF93" w14:textId="77777777" w:rsidTr="00C0066E">
        <w:tc>
          <w:tcPr>
            <w:tcW w:w="2122" w:type="dxa"/>
            <w:shd w:val="clear" w:color="auto" w:fill="auto"/>
            <w:vAlign w:val="center"/>
          </w:tcPr>
          <w:p w14:paraId="101A09B4" w14:textId="446FF83A" w:rsidR="00E5175F" w:rsidRPr="00C20702" w:rsidRDefault="00E5175F" w:rsidP="00E5175F">
            <w:pPr>
              <w:spacing w:after="120"/>
              <w:rPr>
                <w:sz w:val="22"/>
                <w:szCs w:val="22"/>
                <w:lang w:val="en-US"/>
              </w:rPr>
            </w:pPr>
            <w:r w:rsidRPr="00C20702">
              <w:rPr>
                <w:sz w:val="22"/>
                <w:szCs w:val="22"/>
                <w:lang w:val="en-US"/>
              </w:rPr>
              <w:t>Germany </w:t>
            </w:r>
          </w:p>
        </w:tc>
        <w:tc>
          <w:tcPr>
            <w:tcW w:w="992" w:type="dxa"/>
            <w:vAlign w:val="center"/>
          </w:tcPr>
          <w:p w14:paraId="51F2FCF4" w14:textId="1692955A" w:rsidR="00E5175F" w:rsidRDefault="00E5175F" w:rsidP="00E5175F">
            <w:pPr>
              <w:spacing w:after="120"/>
              <w:rPr>
                <w:noProof/>
                <w:lang w:eastAsia="de-DE"/>
              </w:rPr>
            </w:pPr>
            <w:r>
              <w:rPr>
                <w:noProof/>
                <w:lang w:val="et-EE" w:eastAsia="et-EE"/>
              </w:rPr>
              <w:drawing>
                <wp:inline distT="0" distB="0" distL="0" distR="0" wp14:anchorId="10784DBA" wp14:editId="44EF2817">
                  <wp:extent cx="357118" cy="219710"/>
                  <wp:effectExtent l="0" t="0" r="5080" b="889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614" cy="220015"/>
                          </a:xfrm>
                          <a:prstGeom prst="rect">
                            <a:avLst/>
                          </a:prstGeom>
                          <a:noFill/>
                        </pic:spPr>
                      </pic:pic>
                    </a:graphicData>
                  </a:graphic>
                </wp:inline>
              </w:drawing>
            </w:r>
          </w:p>
        </w:tc>
        <w:tc>
          <w:tcPr>
            <w:tcW w:w="1984" w:type="dxa"/>
            <w:shd w:val="clear" w:color="auto" w:fill="auto"/>
            <w:vAlign w:val="center"/>
          </w:tcPr>
          <w:p w14:paraId="71DF102D" w14:textId="5EF6F7C2" w:rsidR="00E5175F" w:rsidRPr="00C20702" w:rsidRDefault="00E5175F" w:rsidP="00E5175F">
            <w:pPr>
              <w:spacing w:after="120"/>
              <w:rPr>
                <w:sz w:val="22"/>
                <w:szCs w:val="22"/>
                <w:lang w:val="en-US"/>
              </w:rPr>
            </w:pPr>
            <w:r w:rsidRPr="00C20702">
              <w:rPr>
                <w:sz w:val="22"/>
                <w:szCs w:val="22"/>
                <w:lang w:val="en-US"/>
              </w:rPr>
              <w:t>Poland </w:t>
            </w:r>
          </w:p>
        </w:tc>
        <w:tc>
          <w:tcPr>
            <w:tcW w:w="993" w:type="dxa"/>
          </w:tcPr>
          <w:p w14:paraId="157C9200" w14:textId="438BA7D7" w:rsidR="00E5175F" w:rsidRDefault="00E5175F" w:rsidP="00E5175F">
            <w:pPr>
              <w:spacing w:after="120"/>
              <w:rPr>
                <w:noProof/>
                <w:lang w:eastAsia="de-DE"/>
              </w:rPr>
            </w:pPr>
            <w:r>
              <w:rPr>
                <w:noProof/>
                <w:lang w:val="et-EE" w:eastAsia="et-EE"/>
              </w:rPr>
              <w:drawing>
                <wp:inline distT="0" distB="0" distL="0" distR="0" wp14:anchorId="5FB2BF31" wp14:editId="3BA264A8">
                  <wp:extent cx="390525" cy="27615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00" cy="278824"/>
                          </a:xfrm>
                          <a:prstGeom prst="rect">
                            <a:avLst/>
                          </a:prstGeom>
                          <a:noFill/>
                        </pic:spPr>
                      </pic:pic>
                    </a:graphicData>
                  </a:graphic>
                </wp:inline>
              </w:drawing>
            </w:r>
          </w:p>
        </w:tc>
        <w:tc>
          <w:tcPr>
            <w:tcW w:w="2126" w:type="dxa"/>
            <w:shd w:val="clear" w:color="auto" w:fill="auto"/>
            <w:vAlign w:val="center"/>
          </w:tcPr>
          <w:p w14:paraId="66F9C305" w14:textId="77777777" w:rsidR="00E5175F" w:rsidRPr="007341B3" w:rsidRDefault="00E5175F" w:rsidP="00E5175F">
            <w:pPr>
              <w:spacing w:after="120"/>
              <w:rPr>
                <w:lang w:val="en-US"/>
              </w:rPr>
            </w:pPr>
          </w:p>
        </w:tc>
        <w:tc>
          <w:tcPr>
            <w:tcW w:w="992" w:type="dxa"/>
          </w:tcPr>
          <w:p w14:paraId="16BB796D" w14:textId="77777777" w:rsidR="00E5175F" w:rsidRPr="007341B3" w:rsidRDefault="00E5175F" w:rsidP="00E5175F">
            <w:pPr>
              <w:spacing w:after="120"/>
              <w:rPr>
                <w:noProof/>
                <w:lang w:eastAsia="de-DE"/>
              </w:rPr>
            </w:pPr>
          </w:p>
        </w:tc>
      </w:tr>
    </w:tbl>
    <w:p w14:paraId="47C86D70" w14:textId="77BE5337" w:rsidR="00510C9E" w:rsidRPr="00F8234F" w:rsidRDefault="00510C9E" w:rsidP="00510C9E">
      <w:pPr>
        <w:spacing w:before="120" w:after="0" w:line="252" w:lineRule="auto"/>
        <w:jc w:val="both"/>
        <w:rPr>
          <w:noProof/>
          <w:lang w:val="en-US"/>
        </w:rPr>
      </w:pPr>
      <w:r w:rsidRPr="00F8234F">
        <w:rPr>
          <w:noProof/>
          <w:lang w:val="en-US"/>
        </w:rPr>
        <w:t xml:space="preserve">Please note that the information in this table is provisional and that more funders might </w:t>
      </w:r>
      <w:r w:rsidR="00F8234F" w:rsidRPr="00F8234F">
        <w:rPr>
          <w:noProof/>
          <w:lang w:val="en-US"/>
        </w:rPr>
        <w:t xml:space="preserve">still </w:t>
      </w:r>
      <w:r w:rsidRPr="00F8234F">
        <w:rPr>
          <w:noProof/>
          <w:lang w:val="en-US"/>
        </w:rPr>
        <w:t>join the call.</w:t>
      </w:r>
    </w:p>
    <w:p w14:paraId="1469306F" w14:textId="77777777" w:rsidR="00596F01" w:rsidRDefault="00596F01" w:rsidP="00D674E0">
      <w:pPr>
        <w:spacing w:after="0"/>
        <w:rPr>
          <w:sz w:val="24"/>
          <w:szCs w:val="24"/>
          <w:lang w:val="en-US"/>
        </w:rPr>
      </w:pPr>
    </w:p>
    <w:p w14:paraId="0AA10243" w14:textId="3761DEFD" w:rsidR="008B23FF" w:rsidRPr="009A493E" w:rsidRDefault="008B23FF" w:rsidP="00D674E0">
      <w:pPr>
        <w:spacing w:after="0"/>
        <w:rPr>
          <w:sz w:val="44"/>
          <w:szCs w:val="24"/>
          <w:lang w:val="en-US"/>
        </w:rPr>
      </w:pPr>
    </w:p>
    <w:p w14:paraId="27EA2A99" w14:textId="77777777" w:rsidR="00510C9E" w:rsidRDefault="00510C9E" w:rsidP="00510C9E">
      <w:pPr>
        <w:spacing w:after="0" w:line="252" w:lineRule="auto"/>
        <w:rPr>
          <w:lang w:val="en-US"/>
        </w:rPr>
      </w:pPr>
    </w:p>
    <w:p w14:paraId="5D70F45D" w14:textId="77777777" w:rsidR="00510C9E" w:rsidRPr="00387530" w:rsidRDefault="00510C9E" w:rsidP="00852FA1">
      <w:pPr>
        <w:spacing w:after="240" w:line="252" w:lineRule="auto"/>
        <w:rPr>
          <w:b/>
          <w:noProof/>
          <w:sz w:val="24"/>
          <w:szCs w:val="24"/>
          <w:lang w:val="en-US"/>
        </w:rPr>
      </w:pPr>
      <w:r w:rsidRPr="00387530">
        <w:rPr>
          <w:b/>
          <w:noProof/>
          <w:sz w:val="24"/>
          <w:szCs w:val="24"/>
          <w:lang w:val="en-US"/>
        </w:rPr>
        <w:t>Call Secretariat</w:t>
      </w:r>
    </w:p>
    <w:p w14:paraId="515B8A3F" w14:textId="4C8CE888" w:rsidR="00510C9E" w:rsidRPr="00387530" w:rsidRDefault="00510C9E" w:rsidP="00510C9E">
      <w:pPr>
        <w:spacing w:after="0" w:line="252" w:lineRule="auto"/>
        <w:rPr>
          <w:noProof/>
          <w:sz w:val="24"/>
          <w:szCs w:val="24"/>
          <w:lang w:val="en-US"/>
        </w:rPr>
      </w:pPr>
      <w:r w:rsidRPr="00387530">
        <w:rPr>
          <w:noProof/>
          <w:sz w:val="24"/>
          <w:szCs w:val="24"/>
          <w:lang w:val="en-US"/>
        </w:rPr>
        <w:t>The Call Secretariat will be shared by</w:t>
      </w:r>
      <w:r w:rsidR="00143DDE" w:rsidRPr="00387530">
        <w:rPr>
          <w:noProof/>
          <w:sz w:val="24"/>
          <w:szCs w:val="24"/>
          <w:lang w:val="en-US"/>
        </w:rPr>
        <w:t>:</w:t>
      </w:r>
    </w:p>
    <w:p w14:paraId="054BE314" w14:textId="77777777" w:rsidR="00143DDE" w:rsidRDefault="00143DDE" w:rsidP="00143DDE">
      <w:pPr>
        <w:spacing w:after="0"/>
        <w:rPr>
          <w:b/>
          <w:bCs/>
          <w:lang w:val="it-IT"/>
        </w:rPr>
      </w:pPr>
    </w:p>
    <w:p w14:paraId="7A6B3E7B" w14:textId="2F42E10E" w:rsidR="00143DDE" w:rsidRPr="00387530" w:rsidRDefault="00143DDE" w:rsidP="009A493E">
      <w:pPr>
        <w:spacing w:after="0" w:line="252" w:lineRule="auto"/>
        <w:rPr>
          <w:noProof/>
          <w:sz w:val="24"/>
          <w:szCs w:val="24"/>
          <w:lang w:val="en-US"/>
        </w:rPr>
      </w:pPr>
      <w:r w:rsidRPr="00387530">
        <w:rPr>
          <w:noProof/>
          <w:sz w:val="24"/>
          <w:szCs w:val="24"/>
          <w:lang w:val="en-US"/>
        </w:rPr>
        <w:t xml:space="preserve">Ministero delle </w:t>
      </w:r>
      <w:r w:rsidR="00CB5CF6">
        <w:rPr>
          <w:noProof/>
          <w:sz w:val="24"/>
          <w:szCs w:val="24"/>
          <w:lang w:val="en-US"/>
        </w:rPr>
        <w:t>Politiche A</w:t>
      </w:r>
      <w:r w:rsidRPr="00387530">
        <w:rPr>
          <w:noProof/>
          <w:sz w:val="24"/>
          <w:szCs w:val="24"/>
          <w:lang w:val="en-US"/>
        </w:rPr>
        <w:t xml:space="preserve">gricole, </w:t>
      </w:r>
      <w:r w:rsidR="00CB5CF6">
        <w:rPr>
          <w:noProof/>
          <w:sz w:val="24"/>
          <w:szCs w:val="24"/>
          <w:lang w:val="en-US"/>
        </w:rPr>
        <w:t>Alimentari e F</w:t>
      </w:r>
      <w:r w:rsidRPr="00387530">
        <w:rPr>
          <w:noProof/>
          <w:sz w:val="24"/>
          <w:szCs w:val="24"/>
          <w:lang w:val="en-US"/>
        </w:rPr>
        <w:t>orestali (MIPAAF, IT)</w:t>
      </w:r>
    </w:p>
    <w:p w14:paraId="7F48E440" w14:textId="77777777" w:rsidR="00143DDE" w:rsidRPr="00387530" w:rsidRDefault="00143DDE" w:rsidP="009A493E">
      <w:pPr>
        <w:spacing w:after="0" w:line="252" w:lineRule="auto"/>
        <w:rPr>
          <w:noProof/>
          <w:sz w:val="24"/>
          <w:szCs w:val="24"/>
          <w:lang w:val="en-US"/>
        </w:rPr>
      </w:pPr>
      <w:r w:rsidRPr="00387530">
        <w:rPr>
          <w:noProof/>
          <w:sz w:val="24"/>
          <w:szCs w:val="24"/>
          <w:lang w:val="en-US"/>
        </w:rPr>
        <w:t xml:space="preserve">Livia Ortolani </w:t>
      </w:r>
    </w:p>
    <w:p w14:paraId="2A6956EC" w14:textId="77777777" w:rsidR="00143DDE" w:rsidRPr="00387530" w:rsidRDefault="00143DDE" w:rsidP="009A493E">
      <w:pPr>
        <w:spacing w:after="0" w:line="252" w:lineRule="auto"/>
        <w:rPr>
          <w:noProof/>
          <w:sz w:val="24"/>
          <w:szCs w:val="24"/>
          <w:lang w:val="en-US"/>
        </w:rPr>
      </w:pPr>
      <w:r w:rsidRPr="00387530">
        <w:rPr>
          <w:noProof/>
          <w:sz w:val="24"/>
          <w:szCs w:val="24"/>
          <w:lang w:val="en-US"/>
        </w:rPr>
        <w:t xml:space="preserve">Email: </w:t>
      </w:r>
      <w:hyperlink r:id="rId35" w:history="1">
        <w:r w:rsidRPr="00387530">
          <w:rPr>
            <w:noProof/>
            <w:sz w:val="24"/>
            <w:szCs w:val="24"/>
            <w:lang w:val="en-US"/>
          </w:rPr>
          <w:t>livia.ortolani.ext@politicheagricole.it</w:t>
        </w:r>
      </w:hyperlink>
    </w:p>
    <w:p w14:paraId="26387653" w14:textId="77777777" w:rsidR="00143DDE" w:rsidRPr="00387530" w:rsidRDefault="00143DDE" w:rsidP="009A493E">
      <w:pPr>
        <w:spacing w:after="0" w:line="252" w:lineRule="auto"/>
        <w:rPr>
          <w:noProof/>
          <w:sz w:val="24"/>
          <w:szCs w:val="24"/>
          <w:lang w:val="en-US"/>
        </w:rPr>
      </w:pPr>
      <w:r w:rsidRPr="00387530">
        <w:rPr>
          <w:noProof/>
          <w:sz w:val="24"/>
          <w:szCs w:val="24"/>
          <w:lang w:val="en-US"/>
        </w:rPr>
        <w:t>Phone: +39 06 4665 5178/5076</w:t>
      </w:r>
    </w:p>
    <w:p w14:paraId="5F2018C8" w14:textId="77777777" w:rsidR="00143DDE" w:rsidRPr="00387530" w:rsidRDefault="00143DDE" w:rsidP="009A493E">
      <w:pPr>
        <w:spacing w:after="0" w:line="252" w:lineRule="auto"/>
        <w:rPr>
          <w:noProof/>
          <w:sz w:val="24"/>
          <w:szCs w:val="24"/>
          <w:lang w:val="en-US"/>
        </w:rPr>
      </w:pPr>
      <w:r w:rsidRPr="00387530">
        <w:rPr>
          <w:noProof/>
          <w:sz w:val="24"/>
          <w:szCs w:val="24"/>
          <w:lang w:val="en-US"/>
        </w:rPr>
        <w:t xml:space="preserve">Alice Albertini </w:t>
      </w:r>
    </w:p>
    <w:p w14:paraId="1E468180" w14:textId="53532D15" w:rsidR="00143DDE" w:rsidRPr="00387530" w:rsidRDefault="00143DDE" w:rsidP="009A493E">
      <w:pPr>
        <w:spacing w:after="0" w:line="252" w:lineRule="auto"/>
        <w:rPr>
          <w:noProof/>
          <w:sz w:val="24"/>
          <w:szCs w:val="24"/>
          <w:lang w:val="en-US"/>
        </w:rPr>
      </w:pPr>
      <w:r w:rsidRPr="00387530">
        <w:rPr>
          <w:noProof/>
          <w:sz w:val="24"/>
          <w:szCs w:val="24"/>
          <w:lang w:val="en-US"/>
        </w:rPr>
        <w:t xml:space="preserve">Email: </w:t>
      </w:r>
      <w:hyperlink r:id="rId36" w:history="1">
        <w:r w:rsidRPr="00387530">
          <w:rPr>
            <w:noProof/>
            <w:sz w:val="24"/>
            <w:szCs w:val="24"/>
            <w:lang w:val="en-US"/>
          </w:rPr>
          <w:t>alice.albertini.ext@politicheagricole.it</w:t>
        </w:r>
      </w:hyperlink>
    </w:p>
    <w:p w14:paraId="38F5722B" w14:textId="77777777" w:rsidR="00143DDE" w:rsidRPr="00387530" w:rsidRDefault="00143DDE" w:rsidP="009A493E">
      <w:pPr>
        <w:spacing w:after="0" w:line="252" w:lineRule="auto"/>
        <w:rPr>
          <w:noProof/>
          <w:sz w:val="24"/>
          <w:szCs w:val="24"/>
          <w:lang w:val="en-US"/>
        </w:rPr>
      </w:pPr>
    </w:p>
    <w:p w14:paraId="11E2DA8D" w14:textId="77777777" w:rsidR="00143DDE" w:rsidRPr="00387530" w:rsidRDefault="00143DDE" w:rsidP="009A493E">
      <w:pPr>
        <w:spacing w:after="0" w:line="252" w:lineRule="auto"/>
        <w:rPr>
          <w:noProof/>
          <w:sz w:val="24"/>
          <w:szCs w:val="24"/>
          <w:lang w:val="en-US"/>
        </w:rPr>
      </w:pPr>
      <w:r w:rsidRPr="00387530">
        <w:rPr>
          <w:noProof/>
          <w:sz w:val="24"/>
          <w:szCs w:val="24"/>
          <w:lang w:val="en-US"/>
        </w:rPr>
        <w:t>Federal Office for Agriculture and Food (BLE, DE)</w:t>
      </w:r>
    </w:p>
    <w:p w14:paraId="46E71EE6" w14:textId="77777777" w:rsidR="00143DDE" w:rsidRPr="009A493E" w:rsidRDefault="00143DDE" w:rsidP="009A493E">
      <w:pPr>
        <w:spacing w:after="0" w:line="252" w:lineRule="auto"/>
        <w:rPr>
          <w:noProof/>
          <w:sz w:val="24"/>
          <w:szCs w:val="24"/>
        </w:rPr>
      </w:pPr>
      <w:r w:rsidRPr="009A493E">
        <w:rPr>
          <w:noProof/>
          <w:sz w:val="24"/>
          <w:szCs w:val="24"/>
        </w:rPr>
        <w:t xml:space="preserve">Katerina Kotzia </w:t>
      </w:r>
    </w:p>
    <w:p w14:paraId="2B9948EE" w14:textId="33F00A97" w:rsidR="00143DDE" w:rsidRPr="00B60B93" w:rsidRDefault="00143DDE" w:rsidP="009A493E">
      <w:pPr>
        <w:spacing w:after="0" w:line="252" w:lineRule="auto"/>
        <w:rPr>
          <w:noProof/>
          <w:sz w:val="24"/>
          <w:szCs w:val="24"/>
        </w:rPr>
      </w:pPr>
      <w:r w:rsidRPr="009A493E">
        <w:rPr>
          <w:noProof/>
          <w:sz w:val="24"/>
          <w:szCs w:val="24"/>
        </w:rPr>
        <w:t xml:space="preserve">Email: </w:t>
      </w:r>
      <w:hyperlink r:id="rId37" w:history="1">
        <w:r w:rsidR="00C9025B" w:rsidRPr="00B60B93">
          <w:rPr>
            <w:rStyle w:val="Hperlink"/>
            <w:noProof/>
            <w:color w:val="auto"/>
            <w:sz w:val="24"/>
            <w:szCs w:val="24"/>
            <w:u w:val="none"/>
          </w:rPr>
          <w:t>katerina.kotzia@ble.de</w:t>
        </w:r>
      </w:hyperlink>
    </w:p>
    <w:p w14:paraId="328F911A" w14:textId="77777777" w:rsidR="00143DDE" w:rsidRPr="00387530" w:rsidRDefault="00143DDE" w:rsidP="009A493E">
      <w:pPr>
        <w:spacing w:after="0" w:line="252" w:lineRule="auto"/>
        <w:rPr>
          <w:noProof/>
          <w:sz w:val="24"/>
          <w:szCs w:val="24"/>
          <w:lang w:val="en-US"/>
        </w:rPr>
      </w:pPr>
      <w:r w:rsidRPr="00387530">
        <w:rPr>
          <w:noProof/>
          <w:sz w:val="24"/>
          <w:szCs w:val="24"/>
          <w:lang w:val="en-US"/>
        </w:rPr>
        <w:t>Phone: +49 (0)228 6845 3486</w:t>
      </w:r>
    </w:p>
    <w:p w14:paraId="3D158D48" w14:textId="4CA40362" w:rsidR="00510C9E" w:rsidRPr="00387530" w:rsidRDefault="00510C9E" w:rsidP="009A493E">
      <w:pPr>
        <w:spacing w:after="0" w:line="252" w:lineRule="auto"/>
        <w:rPr>
          <w:noProof/>
          <w:sz w:val="24"/>
          <w:szCs w:val="24"/>
          <w:lang w:val="en-US"/>
        </w:rPr>
      </w:pPr>
    </w:p>
    <w:p w14:paraId="2281291A" w14:textId="77777777" w:rsidR="00143DDE" w:rsidRPr="00387530" w:rsidRDefault="00143DDE" w:rsidP="00510C9E">
      <w:pPr>
        <w:spacing w:after="0" w:line="252" w:lineRule="auto"/>
        <w:jc w:val="both"/>
        <w:rPr>
          <w:noProof/>
          <w:sz w:val="24"/>
          <w:szCs w:val="24"/>
          <w:lang w:val="en-US"/>
        </w:rPr>
      </w:pPr>
    </w:p>
    <w:p w14:paraId="70840F32" w14:textId="6E91A455" w:rsidR="00EC5D0E" w:rsidRDefault="00EC5D0E" w:rsidP="00D674E0">
      <w:pPr>
        <w:spacing w:after="0"/>
        <w:rPr>
          <w:sz w:val="24"/>
          <w:szCs w:val="24"/>
          <w:lang w:val="en-US"/>
        </w:rPr>
      </w:pPr>
    </w:p>
    <w:p w14:paraId="198C75AD" w14:textId="176F125C" w:rsidR="009E0DDD" w:rsidRPr="00077575" w:rsidRDefault="00552E73" w:rsidP="009E0DDD">
      <w:pPr>
        <w:spacing w:after="120" w:line="264" w:lineRule="auto"/>
        <w:rPr>
          <w:b/>
          <w:sz w:val="24"/>
          <w:lang w:val="en-GB"/>
        </w:rPr>
      </w:pPr>
      <w:r>
        <w:rPr>
          <w:b/>
          <w:sz w:val="24"/>
          <w:lang w:val="en-GB"/>
        </w:rPr>
        <w:br w:type="column"/>
      </w:r>
      <w:r w:rsidR="009E0DDD" w:rsidRPr="00077575">
        <w:rPr>
          <w:b/>
          <w:sz w:val="24"/>
          <w:lang w:val="en-GB"/>
        </w:rPr>
        <w:lastRenderedPageBreak/>
        <w:t xml:space="preserve">Background </w:t>
      </w:r>
    </w:p>
    <w:p w14:paraId="3C8B2C1D" w14:textId="4F9A8A5C" w:rsidR="009E0DDD" w:rsidRPr="00795086" w:rsidRDefault="009E0DDD" w:rsidP="009E0DDD">
      <w:pPr>
        <w:spacing w:after="120" w:line="264" w:lineRule="auto"/>
        <w:rPr>
          <w:sz w:val="24"/>
          <w:szCs w:val="24"/>
          <w:lang w:val="en-GB"/>
        </w:rPr>
      </w:pPr>
      <w:r w:rsidRPr="00DB2C8F">
        <w:rPr>
          <w:sz w:val="24"/>
          <w:szCs w:val="24"/>
          <w:lang w:val="en-GB"/>
        </w:rPr>
        <w:t xml:space="preserve">In former times mixed crop-livestock farming was common practice in many areas of Europe. Since the 1960s however, crop and livestock production became increasingly specialised and less connected. </w:t>
      </w:r>
      <w:r>
        <w:rPr>
          <w:sz w:val="24"/>
          <w:szCs w:val="24"/>
          <w:lang w:val="en-GB"/>
        </w:rPr>
        <w:t>The c</w:t>
      </w:r>
      <w:r w:rsidRPr="00DB2C8F">
        <w:rPr>
          <w:sz w:val="24"/>
          <w:szCs w:val="24"/>
          <w:lang w:val="en-GB"/>
        </w:rPr>
        <w:t xml:space="preserve">onsequences of this development </w:t>
      </w:r>
      <w:r>
        <w:rPr>
          <w:sz w:val="24"/>
          <w:szCs w:val="24"/>
          <w:lang w:val="en-GB"/>
        </w:rPr>
        <w:t>are, among others,</w:t>
      </w:r>
      <w:r w:rsidRPr="00DB2C8F">
        <w:rPr>
          <w:sz w:val="24"/>
          <w:szCs w:val="24"/>
          <w:lang w:val="en-GB"/>
        </w:rPr>
        <w:t xml:space="preserve"> higher regional concentrations of animals, large-scale imports of feed, simplification of crop rotations, higher use of mineral fertilizers and pesticides, and landscape homogenisation. </w:t>
      </w:r>
      <w:r>
        <w:rPr>
          <w:sz w:val="24"/>
          <w:szCs w:val="24"/>
          <w:lang w:val="en-GB"/>
        </w:rPr>
        <w:t>This has contributed to water contamination, loss of soil quality, climate change</w:t>
      </w:r>
      <w:r w:rsidRPr="00DB2C8F">
        <w:rPr>
          <w:sz w:val="24"/>
          <w:szCs w:val="24"/>
          <w:lang w:val="en-GB"/>
        </w:rPr>
        <w:t xml:space="preserve"> and </w:t>
      </w:r>
      <w:r>
        <w:rPr>
          <w:sz w:val="24"/>
          <w:szCs w:val="24"/>
          <w:lang w:val="en-GB"/>
        </w:rPr>
        <w:t>decline</w:t>
      </w:r>
      <w:r w:rsidRPr="00DB2C8F">
        <w:rPr>
          <w:sz w:val="24"/>
          <w:szCs w:val="24"/>
          <w:lang w:val="en-GB"/>
        </w:rPr>
        <w:t xml:space="preserve"> of biodiversity</w:t>
      </w:r>
      <w:r>
        <w:rPr>
          <w:sz w:val="24"/>
          <w:szCs w:val="24"/>
          <w:lang w:val="en-GB"/>
        </w:rPr>
        <w:t>.</w:t>
      </w:r>
      <w:r w:rsidRPr="00DB2C8F">
        <w:rPr>
          <w:sz w:val="24"/>
          <w:szCs w:val="24"/>
          <w:lang w:val="en-GB"/>
        </w:rPr>
        <w:t xml:space="preserve"> </w:t>
      </w:r>
    </w:p>
    <w:p w14:paraId="42282C34" w14:textId="77D99402" w:rsidR="009E0DDD" w:rsidRPr="00795086" w:rsidRDefault="009E0DDD" w:rsidP="009E0DDD">
      <w:pPr>
        <w:spacing w:after="80" w:line="264" w:lineRule="auto"/>
        <w:rPr>
          <w:sz w:val="24"/>
          <w:szCs w:val="24"/>
          <w:lang w:val="en-GB"/>
        </w:rPr>
      </w:pPr>
      <w:r w:rsidRPr="00795086">
        <w:rPr>
          <w:sz w:val="24"/>
          <w:szCs w:val="24"/>
          <w:lang w:val="en-GB"/>
        </w:rPr>
        <w:t xml:space="preserve">In this call, circularity integrates crops, animals and soil as cornerstones of </w:t>
      </w:r>
      <w:r>
        <w:rPr>
          <w:sz w:val="24"/>
          <w:szCs w:val="24"/>
          <w:lang w:val="en-GB"/>
        </w:rPr>
        <w:t xml:space="preserve">sustainable </w:t>
      </w:r>
      <w:r w:rsidRPr="00795086">
        <w:rPr>
          <w:sz w:val="24"/>
          <w:szCs w:val="24"/>
          <w:lang w:val="en-GB"/>
        </w:rPr>
        <w:t xml:space="preserve">agricultural production. </w:t>
      </w:r>
      <w:r>
        <w:rPr>
          <w:sz w:val="24"/>
          <w:szCs w:val="24"/>
          <w:lang w:val="en-GB"/>
        </w:rPr>
        <w:t>Circularity aims at closing the loop of resources. Waste should be prevented, re-used or recycled. The (re)-integration of crop and livestock farming systems offers the possibility</w:t>
      </w:r>
      <w:r w:rsidRPr="00873C17">
        <w:rPr>
          <w:sz w:val="24"/>
          <w:szCs w:val="24"/>
          <w:lang w:val="en-GB"/>
        </w:rPr>
        <w:t xml:space="preserve"> to </w:t>
      </w:r>
      <w:r w:rsidRPr="00DB2C8F">
        <w:rPr>
          <w:sz w:val="24"/>
          <w:szCs w:val="24"/>
          <w:lang w:val="en-GB"/>
        </w:rPr>
        <w:t xml:space="preserve">reduce emissions, be more efficient at using natural resources, </w:t>
      </w:r>
      <w:r>
        <w:rPr>
          <w:sz w:val="24"/>
          <w:szCs w:val="24"/>
          <w:lang w:val="en-GB"/>
        </w:rPr>
        <w:t xml:space="preserve">reduce or abandon external inputs (e.g., </w:t>
      </w:r>
      <w:r w:rsidRPr="00795086">
        <w:rPr>
          <w:sz w:val="24"/>
          <w:szCs w:val="24"/>
          <w:lang w:val="en-GB"/>
        </w:rPr>
        <w:t>pesticides, mineral fertilizers and imported feed</w:t>
      </w:r>
      <w:r>
        <w:rPr>
          <w:sz w:val="24"/>
          <w:szCs w:val="24"/>
          <w:lang w:val="en-GB"/>
        </w:rPr>
        <w:t xml:space="preserve">), </w:t>
      </w:r>
      <w:r w:rsidRPr="00DB2C8F">
        <w:rPr>
          <w:sz w:val="24"/>
          <w:szCs w:val="24"/>
          <w:lang w:val="en-GB"/>
        </w:rPr>
        <w:t xml:space="preserve">be more resilient and contribute to </w:t>
      </w:r>
      <w:r w:rsidR="009B55E0">
        <w:rPr>
          <w:sz w:val="24"/>
          <w:szCs w:val="24"/>
          <w:lang w:val="en-GB"/>
        </w:rPr>
        <w:t>maintain and restore</w:t>
      </w:r>
      <w:r>
        <w:rPr>
          <w:sz w:val="24"/>
          <w:szCs w:val="24"/>
          <w:lang w:val="en-GB"/>
        </w:rPr>
        <w:t xml:space="preserve"> </w:t>
      </w:r>
      <w:r w:rsidRPr="00DB2C8F">
        <w:rPr>
          <w:sz w:val="24"/>
          <w:szCs w:val="24"/>
          <w:lang w:val="en-GB"/>
        </w:rPr>
        <w:t xml:space="preserve">biodiversity. Use of locally produced feed instead of imports, and use of manure instead of synthetic N-fertilizer may contribute to reduce </w:t>
      </w:r>
      <w:r>
        <w:rPr>
          <w:sz w:val="24"/>
          <w:szCs w:val="24"/>
          <w:lang w:val="en-GB"/>
        </w:rPr>
        <w:t>greenhouse gas (</w:t>
      </w:r>
      <w:r w:rsidRPr="00DB2C8F">
        <w:rPr>
          <w:sz w:val="24"/>
          <w:szCs w:val="24"/>
          <w:lang w:val="en-GB"/>
        </w:rPr>
        <w:t>GHG</w:t>
      </w:r>
      <w:r>
        <w:rPr>
          <w:sz w:val="24"/>
          <w:szCs w:val="24"/>
          <w:lang w:val="en-GB"/>
        </w:rPr>
        <w:t>)</w:t>
      </w:r>
      <w:r w:rsidRPr="00DB2C8F">
        <w:rPr>
          <w:sz w:val="24"/>
          <w:szCs w:val="24"/>
          <w:lang w:val="en-GB"/>
        </w:rPr>
        <w:t xml:space="preserve"> emissions. The ability of livestock to use a diversity of plant biomass may favour crop diversity. Crop diversity is an effective element in </w:t>
      </w:r>
      <w:r>
        <w:rPr>
          <w:sz w:val="24"/>
          <w:szCs w:val="24"/>
          <w:lang w:val="en-GB"/>
        </w:rPr>
        <w:t xml:space="preserve">reducing inputs, </w:t>
      </w:r>
      <w:r w:rsidRPr="00DB2C8F">
        <w:rPr>
          <w:sz w:val="24"/>
          <w:szCs w:val="24"/>
          <w:lang w:val="en-GB"/>
        </w:rPr>
        <w:t>managing plant</w:t>
      </w:r>
      <w:r>
        <w:rPr>
          <w:sz w:val="24"/>
          <w:szCs w:val="24"/>
          <w:lang w:val="en-GB"/>
        </w:rPr>
        <w:t xml:space="preserve"> </w:t>
      </w:r>
      <w:r w:rsidRPr="00DB2C8F">
        <w:rPr>
          <w:sz w:val="24"/>
          <w:szCs w:val="24"/>
          <w:lang w:val="en-GB"/>
        </w:rPr>
        <w:t>health and soil fertility, and it may enhance resilience. This is a circular system in which plants, livestock</w:t>
      </w:r>
      <w:r w:rsidR="000822DB">
        <w:rPr>
          <w:sz w:val="24"/>
          <w:szCs w:val="24"/>
          <w:lang w:val="en-GB"/>
        </w:rPr>
        <w:t>,</w:t>
      </w:r>
      <w:r w:rsidRPr="00DB2C8F">
        <w:rPr>
          <w:sz w:val="24"/>
          <w:szCs w:val="24"/>
          <w:lang w:val="en-GB"/>
        </w:rPr>
        <w:t xml:space="preserve"> soil</w:t>
      </w:r>
      <w:r w:rsidR="000822DB">
        <w:rPr>
          <w:sz w:val="24"/>
          <w:szCs w:val="24"/>
          <w:lang w:val="en-GB"/>
        </w:rPr>
        <w:t xml:space="preserve"> and biodiversity</w:t>
      </w:r>
      <w:r>
        <w:rPr>
          <w:sz w:val="24"/>
          <w:szCs w:val="24"/>
          <w:lang w:val="en-GB"/>
        </w:rPr>
        <w:t xml:space="preserve"> </w:t>
      </w:r>
      <w:r w:rsidRPr="00DB2C8F">
        <w:rPr>
          <w:sz w:val="24"/>
          <w:szCs w:val="24"/>
          <w:lang w:val="en-GB"/>
        </w:rPr>
        <w:t xml:space="preserve">play central roles, notably in the </w:t>
      </w:r>
      <w:r>
        <w:rPr>
          <w:sz w:val="24"/>
          <w:szCs w:val="24"/>
          <w:lang w:val="en-GB"/>
        </w:rPr>
        <w:t>management</w:t>
      </w:r>
      <w:r w:rsidRPr="00DB2C8F">
        <w:rPr>
          <w:sz w:val="24"/>
          <w:szCs w:val="24"/>
          <w:lang w:val="en-GB"/>
        </w:rPr>
        <w:t xml:space="preserve"> of carbon, nutrients and water. </w:t>
      </w:r>
    </w:p>
    <w:p w14:paraId="1A348E4D" w14:textId="3DDC02C2" w:rsidR="009E0DDD" w:rsidRPr="00DB2C8F" w:rsidRDefault="009E0DDD" w:rsidP="009E0DDD">
      <w:pPr>
        <w:spacing w:before="120" w:after="120" w:line="264" w:lineRule="auto"/>
        <w:rPr>
          <w:sz w:val="24"/>
          <w:szCs w:val="24"/>
          <w:lang w:val="en-GB"/>
        </w:rPr>
      </w:pPr>
      <w:r>
        <w:rPr>
          <w:sz w:val="24"/>
          <w:szCs w:val="24"/>
          <w:lang w:val="en-GB"/>
        </w:rPr>
        <w:t>In research, n</w:t>
      </w:r>
      <w:r w:rsidRPr="00DB2C8F">
        <w:rPr>
          <w:sz w:val="24"/>
          <w:szCs w:val="24"/>
          <w:lang w:val="en-GB"/>
        </w:rPr>
        <w:t>aturally, this requires a system</w:t>
      </w:r>
      <w:r>
        <w:rPr>
          <w:sz w:val="24"/>
          <w:szCs w:val="24"/>
          <w:lang w:val="en-GB"/>
        </w:rPr>
        <w:t>s</w:t>
      </w:r>
      <w:r w:rsidRPr="00DB2C8F">
        <w:rPr>
          <w:sz w:val="24"/>
          <w:szCs w:val="24"/>
          <w:lang w:val="en-GB"/>
        </w:rPr>
        <w:t xml:space="preserve"> approach, whether a project focuses on whole systems or on key elements of the system</w:t>
      </w:r>
      <w:r w:rsidR="000822DB">
        <w:rPr>
          <w:sz w:val="24"/>
          <w:szCs w:val="24"/>
          <w:lang w:val="en-GB"/>
        </w:rPr>
        <w:t xml:space="preserve"> at the pertinent scale of one farm or groups of farms</w:t>
      </w:r>
      <w:r w:rsidRPr="00DB2C8F">
        <w:rPr>
          <w:sz w:val="24"/>
          <w:szCs w:val="24"/>
          <w:lang w:val="en-GB"/>
        </w:rPr>
        <w:t>. The development or comparison of whole systems needs to be</w:t>
      </w:r>
      <w:r>
        <w:rPr>
          <w:sz w:val="24"/>
          <w:szCs w:val="24"/>
          <w:lang w:val="en-GB"/>
        </w:rPr>
        <w:t xml:space="preserve"> ”</w:t>
      </w:r>
      <w:r w:rsidRPr="00DB2C8F">
        <w:rPr>
          <w:sz w:val="24"/>
          <w:szCs w:val="24"/>
          <w:lang w:val="en-GB"/>
        </w:rPr>
        <w:t>grounded“ by links to real life examples of agriculture and the investigation of selected key elements requires a description of the role and interaction of these elements in the system.</w:t>
      </w:r>
    </w:p>
    <w:p w14:paraId="6D43D76B" w14:textId="7110181F" w:rsidR="009E0DDD" w:rsidRPr="00795086" w:rsidRDefault="009E0DDD" w:rsidP="009E0DDD">
      <w:pPr>
        <w:spacing w:after="120" w:line="264" w:lineRule="auto"/>
        <w:rPr>
          <w:sz w:val="24"/>
          <w:szCs w:val="24"/>
          <w:lang w:val="en-GB"/>
        </w:rPr>
      </w:pPr>
      <w:r w:rsidRPr="00DB2C8F">
        <w:rPr>
          <w:sz w:val="24"/>
          <w:szCs w:val="24"/>
          <w:lang w:val="en-GB"/>
        </w:rPr>
        <w:t xml:space="preserve">To exploit the potential of a (re-) combination of crop and livestock farming under the concept of circularity requires renewed knowledge that fits current production and market conditions. </w:t>
      </w:r>
      <w:r>
        <w:rPr>
          <w:sz w:val="24"/>
          <w:szCs w:val="24"/>
          <w:lang w:val="en-GB"/>
        </w:rPr>
        <w:t>Good</w:t>
      </w:r>
      <w:r w:rsidRPr="00DB2C8F">
        <w:rPr>
          <w:sz w:val="24"/>
          <w:szCs w:val="24"/>
          <w:lang w:val="en-GB"/>
        </w:rPr>
        <w:t xml:space="preserve"> practices are always context specific and require a thorough understanding of the system. For instance, the local type and extent of crop production depends on soil type, climate and distance to markets. Actual resource availability may depend on regional logistic infrastructure, </w:t>
      </w:r>
      <w:r>
        <w:rPr>
          <w:sz w:val="24"/>
          <w:szCs w:val="24"/>
          <w:lang w:val="en-GB"/>
        </w:rPr>
        <w:t xml:space="preserve">value chains and </w:t>
      </w:r>
      <w:r w:rsidRPr="00DB2C8F">
        <w:rPr>
          <w:sz w:val="24"/>
          <w:szCs w:val="24"/>
          <w:lang w:val="en-GB"/>
        </w:rPr>
        <w:t>business models</w:t>
      </w:r>
      <w:r>
        <w:rPr>
          <w:sz w:val="24"/>
          <w:szCs w:val="24"/>
          <w:lang w:val="en-GB"/>
        </w:rPr>
        <w:t>,</w:t>
      </w:r>
      <w:r w:rsidRPr="00DB2C8F">
        <w:rPr>
          <w:sz w:val="24"/>
          <w:szCs w:val="24"/>
          <w:lang w:val="en-GB"/>
        </w:rPr>
        <w:t xml:space="preserve"> and partnership will determine what will be produced, by whom and how. Competition between food and feed for animals as well as for biogas and energy crops must be avoided even though they may all be part of the system, and the emissions of GHGs must be minimised with regard to the overall sum of products and services delivered. Linear approaches need to be complemented or replaced by more holistic approaches.</w:t>
      </w:r>
    </w:p>
    <w:p w14:paraId="5EAC0D98" w14:textId="77777777" w:rsidR="009E0DDD" w:rsidRPr="00795086" w:rsidRDefault="009E0DDD" w:rsidP="009E0DDD">
      <w:pPr>
        <w:spacing w:after="80" w:line="264" w:lineRule="auto"/>
        <w:rPr>
          <w:sz w:val="24"/>
          <w:szCs w:val="24"/>
          <w:lang w:val="en-GB"/>
        </w:rPr>
      </w:pPr>
      <w:r w:rsidRPr="00DB2C8F">
        <w:rPr>
          <w:sz w:val="24"/>
          <w:szCs w:val="24"/>
          <w:lang w:val="en-GB"/>
        </w:rPr>
        <w:t>Information and Communication Technology (ICT) can facilitate complex networks, support decisions</w:t>
      </w:r>
      <w:r>
        <w:rPr>
          <w:sz w:val="24"/>
          <w:szCs w:val="24"/>
          <w:lang w:val="en-GB"/>
        </w:rPr>
        <w:t xml:space="preserve"> (through data collection and analysis)</w:t>
      </w:r>
      <w:r w:rsidRPr="00DB2C8F">
        <w:rPr>
          <w:sz w:val="24"/>
          <w:szCs w:val="24"/>
          <w:lang w:val="en-GB"/>
        </w:rPr>
        <w:t xml:space="preserve"> and improve farm management and farming technologies. It can potentially contribute to improve the sustainability of the agriculture and food sector.</w:t>
      </w:r>
    </w:p>
    <w:p w14:paraId="09926573" w14:textId="77777777" w:rsidR="009E0DDD" w:rsidRDefault="009E0DDD" w:rsidP="009E0DDD">
      <w:pPr>
        <w:spacing w:line="264" w:lineRule="auto"/>
        <w:rPr>
          <w:sz w:val="24"/>
          <w:szCs w:val="24"/>
          <w:lang w:val="en-GB"/>
        </w:rPr>
      </w:pPr>
    </w:p>
    <w:p w14:paraId="504AAF76" w14:textId="77777777" w:rsidR="009E0DDD" w:rsidRPr="00DB2C8F" w:rsidRDefault="009E0DDD" w:rsidP="009E0DDD">
      <w:pPr>
        <w:spacing w:line="264" w:lineRule="auto"/>
        <w:rPr>
          <w:sz w:val="24"/>
          <w:szCs w:val="24"/>
          <w:lang w:val="en-GB"/>
        </w:rPr>
      </w:pPr>
    </w:p>
    <w:p w14:paraId="5C3A3508" w14:textId="77777777" w:rsidR="009E0DDD" w:rsidRPr="00CC3843" w:rsidRDefault="009E0DDD" w:rsidP="009E0DDD">
      <w:pPr>
        <w:spacing w:after="120" w:line="264" w:lineRule="auto"/>
        <w:rPr>
          <w:b/>
          <w:sz w:val="24"/>
          <w:szCs w:val="24"/>
          <w:lang w:val="en-GB"/>
        </w:rPr>
      </w:pPr>
      <w:r w:rsidRPr="00CC3843">
        <w:rPr>
          <w:b/>
          <w:sz w:val="24"/>
          <w:szCs w:val="24"/>
          <w:lang w:val="en-GB"/>
        </w:rPr>
        <w:lastRenderedPageBreak/>
        <w:t>Scope of the call</w:t>
      </w:r>
    </w:p>
    <w:p w14:paraId="401154B7" w14:textId="77777777" w:rsidR="009E0DDD" w:rsidRPr="00CC3843" w:rsidRDefault="009E0DDD" w:rsidP="00BD6EE2">
      <w:pPr>
        <w:spacing w:after="80" w:line="240" w:lineRule="auto"/>
        <w:rPr>
          <w:sz w:val="24"/>
          <w:szCs w:val="24"/>
          <w:u w:val="single"/>
          <w:lang w:val="en-GB"/>
        </w:rPr>
      </w:pPr>
      <w:r w:rsidRPr="00CC3843">
        <w:rPr>
          <w:sz w:val="24"/>
          <w:szCs w:val="24"/>
          <w:u w:val="single"/>
          <w:lang w:val="en-GB"/>
        </w:rPr>
        <w:t xml:space="preserve">Proposals must: </w:t>
      </w:r>
    </w:p>
    <w:p w14:paraId="73EBBE07" w14:textId="77777777" w:rsidR="009E0DDD" w:rsidRPr="0084035C" w:rsidRDefault="009E0DDD" w:rsidP="00BD6EE2">
      <w:pPr>
        <w:pStyle w:val="Loendilik"/>
        <w:numPr>
          <w:ilvl w:val="0"/>
          <w:numId w:val="1"/>
        </w:numPr>
        <w:spacing w:after="80"/>
        <w:ind w:left="284" w:hanging="284"/>
        <w:contextualSpacing w:val="0"/>
        <w:rPr>
          <w:rFonts w:ascii="Times New Roman" w:hAnsi="Times New Roman"/>
          <w:sz w:val="24"/>
          <w:szCs w:val="24"/>
          <w:lang w:val="en-GB"/>
        </w:rPr>
      </w:pPr>
      <w:r w:rsidRPr="0084035C">
        <w:rPr>
          <w:rFonts w:ascii="Times New Roman" w:hAnsi="Times New Roman"/>
          <w:sz w:val="24"/>
          <w:szCs w:val="24"/>
          <w:lang w:val="en-GB"/>
        </w:rPr>
        <w:t xml:space="preserve">Focus on mixed crop-livestock farming systems. These systems can occur within single farms or can be achieved by connecting separate crop and livestock farms. </w:t>
      </w:r>
    </w:p>
    <w:p w14:paraId="35E612AC" w14:textId="77777777" w:rsidR="009E0DDD" w:rsidRPr="00795086" w:rsidRDefault="009E0DDD" w:rsidP="00BD6EE2">
      <w:pPr>
        <w:pStyle w:val="Loendilik"/>
        <w:numPr>
          <w:ilvl w:val="1"/>
          <w:numId w:val="2"/>
        </w:numPr>
        <w:spacing w:after="80"/>
        <w:ind w:left="709" w:hanging="284"/>
        <w:contextualSpacing w:val="0"/>
        <w:rPr>
          <w:rFonts w:ascii="Times New Roman" w:hAnsi="Times New Roman"/>
          <w:sz w:val="24"/>
          <w:szCs w:val="24"/>
          <w:lang w:val="en-GB"/>
        </w:rPr>
      </w:pPr>
      <w:r w:rsidRPr="00795086">
        <w:rPr>
          <w:rFonts w:ascii="Times New Roman" w:hAnsi="Times New Roman"/>
          <w:sz w:val="24"/>
          <w:szCs w:val="24"/>
          <w:lang w:val="en-GB"/>
        </w:rPr>
        <w:t xml:space="preserve">Livestock farming </w:t>
      </w:r>
      <w:r w:rsidRPr="00795086">
        <w:rPr>
          <w:rFonts w:ascii="Times New Roman" w:hAnsi="Times New Roman"/>
          <w:sz w:val="24"/>
          <w:szCs w:val="24"/>
          <w:lang w:val="en-IE"/>
        </w:rPr>
        <w:t>includes the major terrestrial species (e.g. beef and dairy cattle, sheep, goats, pigs &amp; poultry), but may include other (e.g. rabbits or honey bees)</w:t>
      </w:r>
    </w:p>
    <w:p w14:paraId="56671B56" w14:textId="77777777" w:rsidR="009E0DDD" w:rsidRPr="00795086" w:rsidRDefault="009E0DDD" w:rsidP="00BD6EE2">
      <w:pPr>
        <w:pStyle w:val="Loendilik"/>
        <w:numPr>
          <w:ilvl w:val="1"/>
          <w:numId w:val="2"/>
        </w:numPr>
        <w:spacing w:after="80"/>
        <w:ind w:left="709" w:hanging="284"/>
        <w:contextualSpacing w:val="0"/>
        <w:rPr>
          <w:rFonts w:ascii="Times New Roman" w:hAnsi="Times New Roman"/>
          <w:sz w:val="24"/>
          <w:szCs w:val="24"/>
          <w:lang w:val="en-GB"/>
        </w:rPr>
      </w:pPr>
      <w:r w:rsidRPr="00795086">
        <w:rPr>
          <w:rFonts w:ascii="Times New Roman" w:hAnsi="Times New Roman"/>
          <w:sz w:val="24"/>
          <w:szCs w:val="24"/>
          <w:lang w:val="en-GB"/>
        </w:rPr>
        <w:t>Crops are primarily meant to be arable crops here, but cropping systems may include grassland swards, horticulture, biomass crops and agroforestry</w:t>
      </w:r>
    </w:p>
    <w:p w14:paraId="4C909DB0" w14:textId="77777777" w:rsidR="009E0DDD" w:rsidRPr="0084035C" w:rsidRDefault="009E0DDD" w:rsidP="00BD6EE2">
      <w:pPr>
        <w:pStyle w:val="Loendilik"/>
        <w:numPr>
          <w:ilvl w:val="0"/>
          <w:numId w:val="1"/>
        </w:numPr>
        <w:spacing w:after="80"/>
        <w:ind w:left="284" w:hanging="284"/>
        <w:contextualSpacing w:val="0"/>
        <w:rPr>
          <w:rFonts w:ascii="Times New Roman" w:hAnsi="Times New Roman"/>
          <w:sz w:val="24"/>
          <w:szCs w:val="24"/>
          <w:lang w:val="en-GB"/>
        </w:rPr>
      </w:pPr>
      <w:r w:rsidRPr="0084035C">
        <w:rPr>
          <w:rFonts w:ascii="Times New Roman" w:hAnsi="Times New Roman"/>
          <w:sz w:val="24"/>
          <w:szCs w:val="24"/>
          <w:lang w:val="en-GB"/>
        </w:rPr>
        <w:t xml:space="preserve">Address the monitoring </w:t>
      </w:r>
      <w:r>
        <w:rPr>
          <w:rFonts w:ascii="Times New Roman" w:hAnsi="Times New Roman"/>
          <w:sz w:val="24"/>
          <w:szCs w:val="24"/>
          <w:lang w:val="en-GB"/>
        </w:rPr>
        <w:t>and/</w:t>
      </w:r>
      <w:r w:rsidRPr="0084035C">
        <w:rPr>
          <w:rFonts w:ascii="Times New Roman" w:hAnsi="Times New Roman"/>
          <w:sz w:val="24"/>
          <w:szCs w:val="24"/>
          <w:lang w:val="en-GB"/>
        </w:rPr>
        <w:t xml:space="preserve">or mitigation of GHGs from agriculture or agroforestry.  </w:t>
      </w:r>
    </w:p>
    <w:p w14:paraId="62FE54E8" w14:textId="117A3FCC" w:rsidR="009E0DDD" w:rsidRDefault="009E0DDD" w:rsidP="00BD6EE2">
      <w:pPr>
        <w:pStyle w:val="Loendilik"/>
        <w:numPr>
          <w:ilvl w:val="0"/>
          <w:numId w:val="1"/>
        </w:numPr>
        <w:spacing w:after="80"/>
        <w:ind w:left="284" w:hanging="284"/>
        <w:contextualSpacing w:val="0"/>
        <w:rPr>
          <w:rFonts w:ascii="Times New Roman" w:hAnsi="Times New Roman"/>
          <w:sz w:val="24"/>
          <w:szCs w:val="24"/>
          <w:lang w:val="en-GB"/>
        </w:rPr>
      </w:pPr>
      <w:r w:rsidRPr="0084035C">
        <w:rPr>
          <w:rFonts w:ascii="Times New Roman" w:hAnsi="Times New Roman"/>
          <w:sz w:val="24"/>
          <w:szCs w:val="24"/>
          <w:lang w:val="en-GB"/>
        </w:rPr>
        <w:t>Contain an Information and Communication Technology (ICT) dimension</w:t>
      </w:r>
      <w:r w:rsidRPr="0084035C">
        <w:rPr>
          <w:rFonts w:ascii="Times New Roman" w:hAnsi="Times New Roman"/>
          <w:sz w:val="24"/>
          <w:szCs w:val="24"/>
          <w:lang w:val="en-IE"/>
        </w:rPr>
        <w:t xml:space="preserve">, </w:t>
      </w:r>
      <w:r>
        <w:rPr>
          <w:rFonts w:ascii="Times New Roman" w:hAnsi="Times New Roman"/>
          <w:sz w:val="24"/>
          <w:szCs w:val="24"/>
          <w:lang w:val="en-IE"/>
        </w:rPr>
        <w:t>for example</w:t>
      </w:r>
      <w:r w:rsidRPr="0084035C">
        <w:rPr>
          <w:rFonts w:ascii="Times New Roman" w:hAnsi="Times New Roman"/>
          <w:sz w:val="24"/>
          <w:szCs w:val="24"/>
          <w:lang w:val="en-IE"/>
        </w:rPr>
        <w:t xml:space="preserve"> the use of sensors, communication technologies, data analytics, modelling, robotics, precision farming or decision support systems</w:t>
      </w:r>
      <w:r w:rsidRPr="0084035C">
        <w:rPr>
          <w:rFonts w:ascii="Times New Roman" w:hAnsi="Times New Roman"/>
          <w:sz w:val="24"/>
          <w:szCs w:val="24"/>
          <w:lang w:val="en-GB"/>
        </w:rPr>
        <w:t>. </w:t>
      </w:r>
    </w:p>
    <w:p w14:paraId="520C3EAB" w14:textId="19EE2331" w:rsidR="009E0DDD" w:rsidRPr="00222FC6" w:rsidRDefault="009E0DDD" w:rsidP="00BD6EE2">
      <w:pPr>
        <w:pStyle w:val="Loendilik"/>
        <w:numPr>
          <w:ilvl w:val="0"/>
          <w:numId w:val="1"/>
        </w:numPr>
        <w:spacing w:after="80"/>
        <w:ind w:left="284" w:hanging="284"/>
        <w:contextualSpacing w:val="0"/>
        <w:rPr>
          <w:lang w:val="en-GB"/>
        </w:rPr>
      </w:pPr>
      <w:r w:rsidRPr="00EA69D9">
        <w:rPr>
          <w:rFonts w:ascii="Times New Roman" w:hAnsi="Times New Roman"/>
          <w:sz w:val="24"/>
          <w:szCs w:val="24"/>
          <w:lang w:val="en-GB"/>
        </w:rPr>
        <w:t xml:space="preserve">Take a systems approach. </w:t>
      </w:r>
      <w:r w:rsidR="00F24C88" w:rsidRPr="0033401A">
        <w:rPr>
          <w:rFonts w:ascii="Times New Roman" w:hAnsi="Times New Roman"/>
          <w:sz w:val="24"/>
          <w:szCs w:val="24"/>
          <w:lang w:val="en-GB"/>
        </w:rPr>
        <w:t xml:space="preserve">The circular economy approach to </w:t>
      </w:r>
      <w:r w:rsidR="00506222">
        <w:rPr>
          <w:rFonts w:ascii="Times New Roman" w:hAnsi="Times New Roman"/>
          <w:sz w:val="24"/>
          <w:szCs w:val="24"/>
          <w:lang w:val="en-GB"/>
        </w:rPr>
        <w:t xml:space="preserve">mixed </w:t>
      </w:r>
      <w:r w:rsidR="00F24C88">
        <w:rPr>
          <w:rFonts w:ascii="Times New Roman" w:hAnsi="Times New Roman"/>
          <w:sz w:val="24"/>
          <w:szCs w:val="24"/>
          <w:lang w:val="en-GB"/>
        </w:rPr>
        <w:t>crop</w:t>
      </w:r>
      <w:r w:rsidR="00506222">
        <w:rPr>
          <w:rFonts w:ascii="Times New Roman" w:hAnsi="Times New Roman"/>
          <w:sz w:val="24"/>
          <w:szCs w:val="24"/>
          <w:lang w:val="en-GB"/>
        </w:rPr>
        <w:t>-</w:t>
      </w:r>
      <w:r w:rsidR="00F24C88" w:rsidRPr="0033401A">
        <w:rPr>
          <w:rFonts w:ascii="Times New Roman" w:hAnsi="Times New Roman"/>
          <w:sz w:val="24"/>
          <w:szCs w:val="24"/>
          <w:lang w:val="en-GB"/>
        </w:rPr>
        <w:t>livestock production will include synergy and complementarity with sectors such as</w:t>
      </w:r>
      <w:r w:rsidR="00F24C88">
        <w:rPr>
          <w:rFonts w:ascii="Times New Roman" w:hAnsi="Times New Roman"/>
          <w:sz w:val="24"/>
          <w:szCs w:val="24"/>
          <w:lang w:val="en-GB"/>
        </w:rPr>
        <w:t xml:space="preserve"> </w:t>
      </w:r>
      <w:r w:rsidR="00506222">
        <w:rPr>
          <w:rFonts w:ascii="Times New Roman" w:hAnsi="Times New Roman"/>
          <w:sz w:val="24"/>
          <w:szCs w:val="24"/>
          <w:lang w:val="en-GB"/>
        </w:rPr>
        <w:t xml:space="preserve">environmental protection. </w:t>
      </w:r>
      <w:r w:rsidRPr="00EA69D9">
        <w:rPr>
          <w:rFonts w:ascii="Times New Roman" w:hAnsi="Times New Roman"/>
          <w:sz w:val="24"/>
          <w:szCs w:val="24"/>
          <w:lang w:val="en-GB"/>
        </w:rPr>
        <w:t>As appropriate</w:t>
      </w:r>
      <w:r w:rsidRPr="007559D5">
        <w:rPr>
          <w:rFonts w:ascii="Times New Roman" w:hAnsi="Times New Roman"/>
          <w:sz w:val="24"/>
          <w:szCs w:val="24"/>
          <w:vertAlign w:val="superscript"/>
          <w:lang w:val="en-GB"/>
        </w:rPr>
        <w:t>1)</w:t>
      </w:r>
      <w:r w:rsidRPr="00EA69D9">
        <w:rPr>
          <w:rFonts w:ascii="Times New Roman" w:hAnsi="Times New Roman"/>
          <w:sz w:val="24"/>
          <w:szCs w:val="24"/>
          <w:lang w:val="en-GB"/>
        </w:rPr>
        <w:t xml:space="preserve">, this </w:t>
      </w:r>
      <w:r w:rsidRPr="00EA69D9">
        <w:rPr>
          <w:rFonts w:ascii="Times New Roman" w:hAnsi="Times New Roman"/>
          <w:b/>
          <w:bCs/>
          <w:sz w:val="24"/>
          <w:szCs w:val="24"/>
          <w:lang w:val="en-GB"/>
        </w:rPr>
        <w:t>may</w:t>
      </w:r>
      <w:r w:rsidRPr="00EA69D9">
        <w:rPr>
          <w:rFonts w:ascii="Times New Roman" w:hAnsi="Times New Roman"/>
          <w:sz w:val="24"/>
          <w:szCs w:val="24"/>
          <w:lang w:val="en-GB"/>
        </w:rPr>
        <w:t xml:space="preserve"> mean addressing other issues that arise from the individual project’s approach to mixed crop-livestock systems</w:t>
      </w:r>
      <w:r>
        <w:rPr>
          <w:rFonts w:ascii="Times New Roman" w:hAnsi="Times New Roman"/>
          <w:sz w:val="24"/>
          <w:szCs w:val="24"/>
          <w:lang w:val="en-GB"/>
        </w:rPr>
        <w:t>,</w:t>
      </w:r>
      <w:r w:rsidRPr="002520FC">
        <w:rPr>
          <w:rFonts w:ascii="Times New Roman" w:hAnsi="Times New Roman"/>
          <w:sz w:val="24"/>
          <w:szCs w:val="24"/>
          <w:lang w:val="en-GB"/>
        </w:rPr>
        <w:t xml:space="preserve"> </w:t>
      </w:r>
      <w:r>
        <w:rPr>
          <w:rFonts w:ascii="Times New Roman" w:hAnsi="Times New Roman"/>
          <w:sz w:val="24"/>
          <w:szCs w:val="24"/>
          <w:lang w:val="en-GB"/>
        </w:rPr>
        <w:t>i. e. in addition to (a), (b) and (c)</w:t>
      </w:r>
      <w:r w:rsidRPr="00EA69D9">
        <w:rPr>
          <w:rFonts w:ascii="Times New Roman" w:hAnsi="Times New Roman"/>
          <w:sz w:val="24"/>
          <w:szCs w:val="24"/>
          <w:lang w:val="en-GB"/>
        </w:rPr>
        <w:t xml:space="preserve">.  These could include, for example, soil quality; biodiversity; adaptation to climate change; increased protein autonomy; business models and consumer oriented approaches; or </w:t>
      </w:r>
      <w:r w:rsidRPr="00B41AB7">
        <w:rPr>
          <w:rFonts w:ascii="Times New Roman" w:hAnsi="Times New Roman"/>
          <w:sz w:val="24"/>
          <w:szCs w:val="24"/>
          <w:lang w:val="en-GB"/>
        </w:rPr>
        <w:t>the limitations or trade</w:t>
      </w:r>
      <w:r w:rsidRPr="00EA69D9">
        <w:rPr>
          <w:rFonts w:ascii="Times New Roman" w:hAnsi="Times New Roman"/>
          <w:sz w:val="24"/>
          <w:szCs w:val="24"/>
          <w:lang w:val="en-GB"/>
        </w:rPr>
        <w:t>-offs that may occur within mixed systems.</w:t>
      </w:r>
    </w:p>
    <w:p w14:paraId="3ACCFFA9" w14:textId="77777777" w:rsidR="009E0DDD" w:rsidRPr="001D4804" w:rsidRDefault="009E0DDD" w:rsidP="00BD6EE2">
      <w:pPr>
        <w:pStyle w:val="Loendilik"/>
        <w:numPr>
          <w:ilvl w:val="0"/>
          <w:numId w:val="3"/>
        </w:numPr>
        <w:spacing w:after="80"/>
        <w:ind w:left="227" w:hanging="227"/>
        <w:contextualSpacing w:val="0"/>
        <w:rPr>
          <w:rFonts w:ascii="Times New Roman" w:hAnsi="Times New Roman"/>
          <w:i/>
          <w:lang w:val="en-GB" w:eastAsia="de-DE"/>
        </w:rPr>
      </w:pPr>
      <w:r w:rsidRPr="001D4804">
        <w:rPr>
          <w:rFonts w:ascii="Times New Roman" w:hAnsi="Times New Roman"/>
          <w:i/>
          <w:lang w:val="en-GB"/>
        </w:rPr>
        <w:t>Meaning: “in the case in which it is appropriate”</w:t>
      </w:r>
    </w:p>
    <w:p w14:paraId="6578D28E" w14:textId="77777777" w:rsidR="009E0DDD" w:rsidRDefault="009E0DDD" w:rsidP="00BD6EE2">
      <w:pPr>
        <w:spacing w:after="80" w:line="240" w:lineRule="auto"/>
        <w:ind w:left="66"/>
        <w:rPr>
          <w:sz w:val="24"/>
          <w:szCs w:val="24"/>
          <w:lang w:val="en-GB"/>
        </w:rPr>
      </w:pPr>
    </w:p>
    <w:p w14:paraId="16B72A99" w14:textId="77777777" w:rsidR="009E0DDD" w:rsidRDefault="009E0DDD" w:rsidP="00BD6EE2">
      <w:pPr>
        <w:spacing w:after="80" w:line="240" w:lineRule="auto"/>
        <w:ind w:left="68"/>
        <w:rPr>
          <w:sz w:val="24"/>
          <w:szCs w:val="24"/>
          <w:u w:val="single"/>
          <w:lang w:val="en-GB"/>
        </w:rPr>
      </w:pPr>
      <w:r w:rsidRPr="00CC3843">
        <w:rPr>
          <w:sz w:val="24"/>
          <w:szCs w:val="24"/>
          <w:u w:val="single"/>
          <w:lang w:val="en-GB"/>
        </w:rPr>
        <w:t>The following topics/activities/types of proposal will be considered outside the scope of this call, i.e. they will not be funded (examples):</w:t>
      </w:r>
    </w:p>
    <w:p w14:paraId="0BE9E310" w14:textId="77777777" w:rsidR="009E0DDD" w:rsidRPr="00082C31" w:rsidRDefault="009E0DDD" w:rsidP="00C46C0E">
      <w:pPr>
        <w:pStyle w:val="Loendilik"/>
        <w:numPr>
          <w:ilvl w:val="0"/>
          <w:numId w:val="4"/>
        </w:numPr>
        <w:spacing w:after="80" w:line="264" w:lineRule="auto"/>
        <w:ind w:left="170" w:hanging="170"/>
        <w:rPr>
          <w:rFonts w:ascii="Times New Roman" w:hAnsi="Times New Roman"/>
          <w:sz w:val="24"/>
          <w:szCs w:val="24"/>
          <w:lang w:val="en-GB"/>
        </w:rPr>
      </w:pPr>
      <w:r w:rsidRPr="00082C31">
        <w:rPr>
          <w:rFonts w:ascii="Times New Roman" w:hAnsi="Times New Roman"/>
          <w:sz w:val="24"/>
          <w:szCs w:val="24"/>
          <w:lang w:val="en-GB"/>
        </w:rPr>
        <w:t>Single-discipline projects on crop or animal breeding or nutrition</w:t>
      </w:r>
    </w:p>
    <w:p w14:paraId="26B8881F" w14:textId="77777777" w:rsidR="009E0DDD" w:rsidRPr="00662A70" w:rsidRDefault="009E0DDD" w:rsidP="00C46C0E">
      <w:pPr>
        <w:pStyle w:val="Loendilik"/>
        <w:numPr>
          <w:ilvl w:val="0"/>
          <w:numId w:val="4"/>
        </w:numPr>
        <w:spacing w:after="80" w:line="264" w:lineRule="auto"/>
        <w:ind w:left="170" w:hanging="170"/>
        <w:rPr>
          <w:rFonts w:ascii="Times New Roman" w:hAnsi="Times New Roman"/>
          <w:sz w:val="24"/>
          <w:szCs w:val="24"/>
          <w:lang w:val="en-GB"/>
        </w:rPr>
      </w:pPr>
      <w:r w:rsidRPr="00662A70">
        <w:rPr>
          <w:rFonts w:ascii="Times New Roman" w:hAnsi="Times New Roman"/>
          <w:sz w:val="24"/>
          <w:szCs w:val="24"/>
          <w:lang w:val="en-GB"/>
        </w:rPr>
        <w:t>Studies with a main focus on soil, e.g. on soil carbon sequestration</w:t>
      </w:r>
    </w:p>
    <w:p w14:paraId="104AE6A8" w14:textId="77777777" w:rsidR="009E0DDD" w:rsidRPr="00795086" w:rsidRDefault="009E0DDD" w:rsidP="00C46C0E">
      <w:pPr>
        <w:pStyle w:val="Loendilik"/>
        <w:numPr>
          <w:ilvl w:val="0"/>
          <w:numId w:val="4"/>
        </w:numPr>
        <w:spacing w:after="80" w:line="264" w:lineRule="auto"/>
        <w:ind w:left="170" w:hanging="170"/>
        <w:rPr>
          <w:rFonts w:ascii="Times New Roman" w:hAnsi="Times New Roman"/>
          <w:sz w:val="24"/>
          <w:szCs w:val="24"/>
          <w:lang w:val="en-GB"/>
        </w:rPr>
      </w:pPr>
      <w:r w:rsidRPr="00795086">
        <w:rPr>
          <w:rFonts w:ascii="Times New Roman" w:hAnsi="Times New Roman"/>
          <w:sz w:val="24"/>
          <w:szCs w:val="24"/>
          <w:lang w:val="en-GB"/>
        </w:rPr>
        <w:t>Aquaculture and aquaponics</w:t>
      </w:r>
    </w:p>
    <w:p w14:paraId="247F62E5" w14:textId="77777777" w:rsidR="009E0DDD" w:rsidRPr="00795086" w:rsidRDefault="009E0DDD" w:rsidP="00C46C0E">
      <w:pPr>
        <w:pStyle w:val="Loendilik"/>
        <w:numPr>
          <w:ilvl w:val="0"/>
          <w:numId w:val="4"/>
        </w:numPr>
        <w:spacing w:after="80" w:line="264" w:lineRule="auto"/>
        <w:ind w:left="170" w:hanging="170"/>
        <w:rPr>
          <w:rFonts w:ascii="Times New Roman" w:hAnsi="Times New Roman"/>
          <w:sz w:val="24"/>
          <w:szCs w:val="24"/>
          <w:lang w:val="en-GB"/>
        </w:rPr>
      </w:pPr>
      <w:r w:rsidRPr="00795086">
        <w:rPr>
          <w:rFonts w:ascii="Times New Roman" w:hAnsi="Times New Roman"/>
          <w:sz w:val="24"/>
          <w:szCs w:val="24"/>
          <w:lang w:val="en-GB"/>
        </w:rPr>
        <w:t>Insect farming</w:t>
      </w:r>
      <w:r>
        <w:rPr>
          <w:rFonts w:ascii="Times New Roman" w:hAnsi="Times New Roman"/>
          <w:sz w:val="24"/>
          <w:szCs w:val="24"/>
          <w:lang w:val="en-GB"/>
        </w:rPr>
        <w:t xml:space="preserve"> (except honey bees)</w:t>
      </w:r>
    </w:p>
    <w:p w14:paraId="4601B6F2" w14:textId="77777777" w:rsidR="009E0DDD" w:rsidRPr="00795086" w:rsidRDefault="009E0DDD" w:rsidP="00C46C0E">
      <w:pPr>
        <w:pStyle w:val="Loendilik"/>
        <w:numPr>
          <w:ilvl w:val="0"/>
          <w:numId w:val="4"/>
        </w:numPr>
        <w:spacing w:after="80" w:line="264" w:lineRule="auto"/>
        <w:ind w:left="170" w:hanging="170"/>
        <w:rPr>
          <w:rFonts w:ascii="Times New Roman" w:hAnsi="Times New Roman"/>
          <w:sz w:val="24"/>
          <w:szCs w:val="24"/>
          <w:lang w:val="en-GB"/>
        </w:rPr>
      </w:pPr>
      <w:r w:rsidRPr="00795086">
        <w:rPr>
          <w:rFonts w:ascii="Times New Roman" w:hAnsi="Times New Roman"/>
          <w:sz w:val="24"/>
          <w:szCs w:val="24"/>
          <w:lang w:val="en-GB"/>
        </w:rPr>
        <w:t>Animals that are bred and raised on fur farms, e.g.,  mink, fox, marten and chinchilla</w:t>
      </w:r>
    </w:p>
    <w:p w14:paraId="4AD42DE4" w14:textId="77777777" w:rsidR="009E0DDD" w:rsidRPr="00795086" w:rsidRDefault="009E0DDD" w:rsidP="00C46C0E">
      <w:pPr>
        <w:pStyle w:val="Loendilik"/>
        <w:numPr>
          <w:ilvl w:val="0"/>
          <w:numId w:val="4"/>
        </w:numPr>
        <w:spacing w:after="80" w:line="264" w:lineRule="auto"/>
        <w:ind w:left="170" w:hanging="170"/>
        <w:rPr>
          <w:rFonts w:ascii="Times New Roman" w:hAnsi="Times New Roman"/>
          <w:sz w:val="24"/>
          <w:szCs w:val="24"/>
          <w:lang w:val="en-GB"/>
        </w:rPr>
      </w:pPr>
      <w:r w:rsidRPr="00795086">
        <w:rPr>
          <w:rFonts w:ascii="Times New Roman" w:hAnsi="Times New Roman"/>
          <w:sz w:val="24"/>
          <w:szCs w:val="24"/>
          <w:lang w:val="en-GB"/>
        </w:rPr>
        <w:t>Proposals with focus on rewilding</w:t>
      </w:r>
    </w:p>
    <w:p w14:paraId="48F164B6" w14:textId="77777777" w:rsidR="009E0DDD" w:rsidRPr="00795086" w:rsidRDefault="009E0DDD" w:rsidP="00BD6EE2">
      <w:pPr>
        <w:pStyle w:val="Loendilik"/>
        <w:numPr>
          <w:ilvl w:val="0"/>
          <w:numId w:val="4"/>
        </w:numPr>
        <w:spacing w:after="80"/>
        <w:ind w:left="170" w:hanging="170"/>
        <w:rPr>
          <w:rFonts w:ascii="Times New Roman" w:hAnsi="Times New Roman"/>
          <w:sz w:val="24"/>
          <w:szCs w:val="24"/>
          <w:lang w:val="en-GB"/>
        </w:rPr>
      </w:pPr>
      <w:r w:rsidRPr="00795086">
        <w:rPr>
          <w:rFonts w:ascii="Times New Roman" w:hAnsi="Times New Roman"/>
          <w:sz w:val="24"/>
          <w:szCs w:val="24"/>
          <w:lang w:val="en-GB"/>
        </w:rPr>
        <w:t>Technical development of anaerobic digesters</w:t>
      </w:r>
    </w:p>
    <w:p w14:paraId="4C0388DC" w14:textId="77777777" w:rsidR="009E0DDD" w:rsidRDefault="009E0DDD" w:rsidP="00BD6EE2">
      <w:pPr>
        <w:spacing w:after="80" w:line="240" w:lineRule="auto"/>
        <w:rPr>
          <w:sz w:val="24"/>
          <w:szCs w:val="24"/>
          <w:lang w:val="en-GB"/>
        </w:rPr>
      </w:pPr>
    </w:p>
    <w:p w14:paraId="3EA63B69" w14:textId="77777777" w:rsidR="009E0DDD" w:rsidRPr="0064063E" w:rsidRDefault="009E0DDD" w:rsidP="00BD6EE2">
      <w:pPr>
        <w:spacing w:after="80" w:line="240" w:lineRule="auto"/>
        <w:rPr>
          <w:b/>
          <w:sz w:val="24"/>
          <w:szCs w:val="24"/>
          <w:lang w:val="en-GB"/>
        </w:rPr>
      </w:pPr>
      <w:r>
        <w:rPr>
          <w:b/>
          <w:sz w:val="24"/>
          <w:szCs w:val="24"/>
          <w:lang w:val="en-GB"/>
        </w:rPr>
        <w:t>Expected i</w:t>
      </w:r>
      <w:r w:rsidRPr="0064063E">
        <w:rPr>
          <w:b/>
          <w:sz w:val="24"/>
          <w:szCs w:val="24"/>
          <w:lang w:val="en-GB"/>
        </w:rPr>
        <w:t>mpact</w:t>
      </w:r>
    </w:p>
    <w:p w14:paraId="0A41FCAC" w14:textId="77777777" w:rsidR="009E0DDD" w:rsidRPr="00550BB3" w:rsidRDefault="009E0DDD" w:rsidP="00BD6EE2">
      <w:pPr>
        <w:spacing w:after="80" w:line="240" w:lineRule="auto"/>
        <w:rPr>
          <w:sz w:val="24"/>
          <w:szCs w:val="24"/>
          <w:lang w:val="en-GB"/>
        </w:rPr>
      </w:pPr>
      <w:r w:rsidRPr="00550BB3">
        <w:rPr>
          <w:sz w:val="24"/>
          <w:szCs w:val="24"/>
          <w:lang w:val="en-GB"/>
        </w:rPr>
        <w:t>The overall expected impact of projects funded under this call is to enhance circularity between crop and livestock farming systems.</w:t>
      </w:r>
    </w:p>
    <w:p w14:paraId="2086F793" w14:textId="77777777" w:rsidR="009E0DDD" w:rsidRPr="00550BB3" w:rsidRDefault="009E0DDD" w:rsidP="00BD6EE2">
      <w:pPr>
        <w:spacing w:after="80" w:line="240" w:lineRule="auto"/>
        <w:rPr>
          <w:sz w:val="24"/>
          <w:szCs w:val="24"/>
          <w:lang w:val="en-GB"/>
        </w:rPr>
      </w:pPr>
      <w:r w:rsidRPr="00550BB3">
        <w:rPr>
          <w:sz w:val="24"/>
          <w:szCs w:val="24"/>
          <w:lang w:val="en-GB"/>
        </w:rPr>
        <w:t>Projects should also contribute to the following impacts</w:t>
      </w:r>
      <w:r>
        <w:rPr>
          <w:sz w:val="24"/>
          <w:szCs w:val="24"/>
          <w:lang w:val="en-GB"/>
        </w:rPr>
        <w:t>:</w:t>
      </w:r>
    </w:p>
    <w:p w14:paraId="74D498DE" w14:textId="77777777" w:rsidR="009E0DDD" w:rsidRPr="00800317" w:rsidRDefault="009E0DDD" w:rsidP="00BD6EE2">
      <w:pPr>
        <w:pStyle w:val="Loendilik"/>
        <w:numPr>
          <w:ilvl w:val="0"/>
          <w:numId w:val="9"/>
        </w:numPr>
        <w:spacing w:after="80"/>
        <w:ind w:left="426"/>
        <w:rPr>
          <w:rFonts w:ascii="Times New Roman" w:hAnsi="Times New Roman"/>
          <w:sz w:val="24"/>
        </w:rPr>
      </w:pPr>
      <w:r w:rsidRPr="00550BB3">
        <w:rPr>
          <w:rFonts w:ascii="Times New Roman" w:hAnsi="Times New Roman"/>
          <w:sz w:val="24"/>
          <w:szCs w:val="24"/>
          <w:lang w:val="en-GB"/>
        </w:rPr>
        <w:t>GHG Mitigation</w:t>
      </w:r>
      <w:r w:rsidRPr="0033401A">
        <w:t xml:space="preserve"> </w:t>
      </w:r>
    </w:p>
    <w:p w14:paraId="1AF96E04" w14:textId="1E3D03AD" w:rsidR="009E0DDD" w:rsidRPr="00884AC1" w:rsidRDefault="009E0DDD" w:rsidP="00BD6EE2">
      <w:pPr>
        <w:pStyle w:val="Loendilik"/>
        <w:numPr>
          <w:ilvl w:val="0"/>
          <w:numId w:val="9"/>
        </w:numPr>
        <w:spacing w:after="80"/>
        <w:ind w:left="425" w:hanging="357"/>
        <w:contextualSpacing w:val="0"/>
        <w:rPr>
          <w:rFonts w:ascii="Times New Roman" w:hAnsi="Times New Roman"/>
          <w:sz w:val="24"/>
          <w:szCs w:val="24"/>
          <w:lang w:val="en-IE"/>
        </w:rPr>
      </w:pPr>
      <w:r w:rsidRPr="00A75D31">
        <w:rPr>
          <w:rFonts w:ascii="Times New Roman" w:hAnsi="Times New Roman"/>
          <w:sz w:val="24"/>
          <w:szCs w:val="24"/>
          <w:lang w:val="en-GB"/>
        </w:rPr>
        <w:t>If applicable</w:t>
      </w:r>
      <w:r w:rsidRPr="00884AC1">
        <w:rPr>
          <w:rFonts w:ascii="Times New Roman" w:hAnsi="Times New Roman"/>
          <w:sz w:val="24"/>
          <w:szCs w:val="24"/>
          <w:lang w:val="en-GB"/>
        </w:rPr>
        <w:t xml:space="preserve"> regarding the individual project’s approach</w:t>
      </w:r>
      <w:r>
        <w:rPr>
          <w:rFonts w:ascii="Times New Roman" w:hAnsi="Times New Roman"/>
          <w:sz w:val="24"/>
          <w:szCs w:val="24"/>
          <w:lang w:val="en-GB"/>
        </w:rPr>
        <w:t>:</w:t>
      </w:r>
      <w:r w:rsidRPr="00884AC1">
        <w:rPr>
          <w:rFonts w:ascii="Times New Roman" w:hAnsi="Times New Roman"/>
          <w:sz w:val="24"/>
          <w:szCs w:val="24"/>
          <w:lang w:val="en-GB"/>
        </w:rPr>
        <w:t xml:space="preserve"> Other relevant sustainability</w:t>
      </w:r>
      <w:r w:rsidRPr="00884AC1">
        <w:rPr>
          <w:rFonts w:ascii="Times New Roman" w:hAnsi="Times New Roman"/>
          <w:sz w:val="24"/>
          <w:szCs w:val="24"/>
          <w:vertAlign w:val="superscript"/>
          <w:lang w:val="en-GB"/>
        </w:rPr>
        <w:t>2)</w:t>
      </w:r>
      <w:r w:rsidRPr="00884AC1">
        <w:rPr>
          <w:rFonts w:ascii="Times New Roman" w:hAnsi="Times New Roman"/>
          <w:sz w:val="24"/>
          <w:szCs w:val="24"/>
          <w:lang w:val="en-GB"/>
        </w:rPr>
        <w:t xml:space="preserve"> benefits of mixed crop-livestock farming systems</w:t>
      </w:r>
      <w:r w:rsidR="003542F3">
        <w:rPr>
          <w:rFonts w:ascii="Times New Roman" w:hAnsi="Times New Roman"/>
          <w:sz w:val="24"/>
          <w:szCs w:val="24"/>
          <w:lang w:val="en-GB"/>
        </w:rPr>
        <w:t xml:space="preserve">, e.g. </w:t>
      </w:r>
      <w:r w:rsidR="003542F3" w:rsidRPr="00387530">
        <w:rPr>
          <w:rFonts w:ascii="Times New Roman" w:hAnsi="Times New Roman"/>
          <w:sz w:val="24"/>
          <w:szCs w:val="24"/>
          <w:lang w:val="en-US"/>
        </w:rPr>
        <w:t xml:space="preserve">improved resilience of production systems, increased efficiency of farm operations and animal production systems, enhanced </w:t>
      </w:r>
      <w:r w:rsidR="00B6074A" w:rsidRPr="00387530">
        <w:rPr>
          <w:rFonts w:ascii="Times New Roman" w:hAnsi="Times New Roman"/>
          <w:sz w:val="24"/>
          <w:szCs w:val="24"/>
          <w:lang w:val="en-US"/>
        </w:rPr>
        <w:t>use of natural resources and reduction of waste, increased protein autonomy, more</w:t>
      </w:r>
      <w:r w:rsidR="003542F3" w:rsidRPr="00387530">
        <w:rPr>
          <w:rFonts w:ascii="Times New Roman" w:hAnsi="Times New Roman"/>
          <w:sz w:val="24"/>
          <w:szCs w:val="24"/>
          <w:lang w:val="en-US"/>
        </w:rPr>
        <w:t xml:space="preserve"> diversified and attractive landscapes</w:t>
      </w:r>
      <w:r w:rsidRPr="00884AC1">
        <w:rPr>
          <w:rFonts w:ascii="Times New Roman" w:hAnsi="Times New Roman"/>
          <w:sz w:val="24"/>
          <w:szCs w:val="24"/>
          <w:lang w:val="en-GB"/>
        </w:rPr>
        <w:t xml:space="preserve">. - Compare point (d) under ‘Scope of the call’.  </w:t>
      </w:r>
    </w:p>
    <w:p w14:paraId="6DFE628C" w14:textId="77777777" w:rsidR="009E0DDD" w:rsidRPr="009561AB" w:rsidRDefault="009E0DDD" w:rsidP="00BD6EE2">
      <w:pPr>
        <w:pStyle w:val="Loendilik"/>
        <w:numPr>
          <w:ilvl w:val="0"/>
          <w:numId w:val="3"/>
        </w:numPr>
        <w:spacing w:after="80"/>
        <w:ind w:left="227" w:hanging="227"/>
        <w:contextualSpacing w:val="0"/>
        <w:rPr>
          <w:rFonts w:ascii="Times New Roman" w:hAnsi="Times New Roman"/>
          <w:i/>
          <w:lang w:val="en-IE"/>
        </w:rPr>
      </w:pPr>
      <w:r w:rsidRPr="009561AB">
        <w:rPr>
          <w:rFonts w:ascii="Times New Roman" w:hAnsi="Times New Roman"/>
          <w:i/>
          <w:lang w:val="en-IE"/>
        </w:rPr>
        <w:t>Note that sustainability in this context refers to the three pillars of sustainability – economic, environmental and societal.</w:t>
      </w:r>
    </w:p>
    <w:p w14:paraId="47855D9A" w14:textId="77777777" w:rsidR="009E0DDD" w:rsidRPr="00402790" w:rsidRDefault="009E0DDD" w:rsidP="00387530">
      <w:pPr>
        <w:pBdr>
          <w:top w:val="single" w:sz="4" w:space="1" w:color="auto"/>
          <w:left w:val="single" w:sz="4" w:space="4" w:color="auto"/>
          <w:bottom w:val="single" w:sz="4" w:space="1" w:color="auto"/>
          <w:right w:val="single" w:sz="4" w:space="4" w:color="auto"/>
        </w:pBdr>
        <w:spacing w:after="280" w:line="264" w:lineRule="auto"/>
        <w:rPr>
          <w:i/>
          <w:sz w:val="24"/>
          <w:szCs w:val="24"/>
          <w:lang w:val="en-GB"/>
        </w:rPr>
      </w:pPr>
      <w:r w:rsidRPr="00402790">
        <w:rPr>
          <w:i/>
          <w:sz w:val="24"/>
          <w:lang w:val="en-GB"/>
        </w:rPr>
        <w:lastRenderedPageBreak/>
        <w:t>Please note:</w:t>
      </w:r>
      <w:r w:rsidRPr="00402790">
        <w:rPr>
          <w:i/>
          <w:sz w:val="24"/>
          <w:szCs w:val="24"/>
          <w:lang w:val="en-GB"/>
        </w:rPr>
        <w:t xml:space="preserve"> some systems already have a high level of circularity between crops and livestock. If an applicant plans a proposal that solely focuses on such a system they will need to carefully consider how the expected impact can be achieved. </w:t>
      </w:r>
    </w:p>
    <w:p w14:paraId="2F3CFDDC" w14:textId="77777777" w:rsidR="009E0DDD" w:rsidRPr="00676F90" w:rsidRDefault="009E0DDD" w:rsidP="009E0DDD">
      <w:pPr>
        <w:spacing w:after="80" w:line="264" w:lineRule="auto"/>
        <w:rPr>
          <w:b/>
          <w:sz w:val="24"/>
          <w:lang w:val="en-GB"/>
        </w:rPr>
      </w:pPr>
      <w:r w:rsidRPr="00676F90">
        <w:rPr>
          <w:b/>
          <w:sz w:val="24"/>
          <w:lang w:val="en-GB"/>
        </w:rPr>
        <w:t xml:space="preserve">Potential research areas </w:t>
      </w:r>
    </w:p>
    <w:p w14:paraId="51E3B2AB" w14:textId="77777777" w:rsidR="009E0DDD" w:rsidRPr="00F00388" w:rsidRDefault="009E0DDD" w:rsidP="009E0DDD">
      <w:pPr>
        <w:spacing w:after="120" w:line="264" w:lineRule="auto"/>
        <w:rPr>
          <w:i/>
          <w:sz w:val="24"/>
          <w:szCs w:val="24"/>
          <w:lang w:val="en-GB"/>
        </w:rPr>
      </w:pPr>
      <w:r w:rsidRPr="00F00388">
        <w:rPr>
          <w:i/>
          <w:sz w:val="24"/>
          <w:szCs w:val="24"/>
          <w:lang w:val="en-GB"/>
        </w:rPr>
        <w:t xml:space="preserve">Please note that the list below is intended to provide inspiration to potential applicants. It is not an exhaustive list, the listing order does not reflect priorities and it does not exclude focus areas that are not on the list. </w:t>
      </w:r>
    </w:p>
    <w:p w14:paraId="274A2A7B" w14:textId="77777777"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Effect of enhanced circularity and mixed crop-livestock farming on GHG emissions</w:t>
      </w:r>
      <w:r>
        <w:rPr>
          <w:rFonts w:ascii="Times New Roman" w:hAnsi="Times New Roman"/>
          <w:sz w:val="24"/>
          <w:szCs w:val="24"/>
          <w:lang w:val="en-GB"/>
        </w:rPr>
        <w:t xml:space="preserve"> and adaptation to climate change</w:t>
      </w:r>
      <w:r w:rsidRPr="00795086">
        <w:rPr>
          <w:rFonts w:ascii="Times New Roman" w:hAnsi="Times New Roman"/>
          <w:sz w:val="24"/>
          <w:szCs w:val="24"/>
          <w:lang w:val="en-GB"/>
        </w:rPr>
        <w:t>.</w:t>
      </w:r>
    </w:p>
    <w:p w14:paraId="634C7AC9" w14:textId="77777777"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Trade-offs within mixed crop-livestock farming systems, including strategies to maximise net human edible protein production with special attention to food/feed competition within circular food systems.</w:t>
      </w:r>
    </w:p>
    <w:p w14:paraId="080F6384" w14:textId="77777777" w:rsidR="009E0DDD"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Recouple nitrogen, phosphorous and carbon cycle through, e. g., legumes, multi-species grasslands, manure, digestates from anaerobic digestion and other by-products; consequences for crop yield, pests and diseases, soil biology, structure and fertility, reduced use of mineral fertilizers and pesticides.</w:t>
      </w:r>
    </w:p>
    <w:p w14:paraId="5169610B" w14:textId="08C43C5C" w:rsidR="009E0DDD" w:rsidRPr="00795086" w:rsidRDefault="009E0DDD" w:rsidP="00387530">
      <w:pPr>
        <w:pStyle w:val="Loendilik"/>
        <w:numPr>
          <w:ilvl w:val="0"/>
          <w:numId w:val="8"/>
        </w:numPr>
        <w:spacing w:after="40"/>
        <w:ind w:left="284" w:hanging="284"/>
        <w:contextualSpacing w:val="0"/>
        <w:rPr>
          <w:rFonts w:ascii="Times New Roman" w:hAnsi="Times New Roman"/>
          <w:sz w:val="24"/>
          <w:lang w:val="en-GB"/>
        </w:rPr>
      </w:pPr>
      <w:r w:rsidRPr="00795086">
        <w:rPr>
          <w:rFonts w:ascii="Times New Roman" w:hAnsi="Times New Roman"/>
          <w:sz w:val="24"/>
          <w:lang w:val="en-GB"/>
        </w:rPr>
        <w:t xml:space="preserve">Effect of diversification </w:t>
      </w:r>
      <w:r>
        <w:rPr>
          <w:rFonts w:ascii="Times New Roman" w:hAnsi="Times New Roman"/>
          <w:sz w:val="24"/>
          <w:lang w:val="en-GB"/>
        </w:rPr>
        <w:t xml:space="preserve">at different levels (plant/animal and production system) </w:t>
      </w:r>
      <w:r w:rsidRPr="00795086">
        <w:rPr>
          <w:rFonts w:ascii="Times New Roman" w:hAnsi="Times New Roman"/>
          <w:sz w:val="24"/>
          <w:lang w:val="en-GB"/>
        </w:rPr>
        <w:t>on ecologic and economic resilience;</w:t>
      </w:r>
      <w:r w:rsidRPr="006107F3">
        <w:rPr>
          <w:rFonts w:ascii="Times New Roman" w:hAnsi="Times New Roman"/>
          <w:sz w:val="24"/>
          <w:lang w:val="en-GB"/>
        </w:rPr>
        <w:t xml:space="preserve"> </w:t>
      </w:r>
      <w:r w:rsidR="00ED252A">
        <w:rPr>
          <w:rFonts w:ascii="Times New Roman" w:hAnsi="Times New Roman"/>
          <w:sz w:val="24"/>
          <w:lang w:val="en-GB"/>
        </w:rPr>
        <w:t xml:space="preserve">identification of nature based solutions; </w:t>
      </w:r>
      <w:r w:rsidRPr="00795086">
        <w:rPr>
          <w:rFonts w:ascii="Times New Roman" w:hAnsi="Times New Roman"/>
          <w:sz w:val="24"/>
          <w:lang w:val="en-GB"/>
        </w:rPr>
        <w:t>production efficiency,</w:t>
      </w:r>
      <w:r w:rsidRPr="00800317">
        <w:rPr>
          <w:sz w:val="24"/>
          <w:lang w:val="en-GB"/>
        </w:rPr>
        <w:t xml:space="preserve"> </w:t>
      </w:r>
      <w:r w:rsidRPr="00795086">
        <w:rPr>
          <w:rFonts w:ascii="Times New Roman" w:hAnsi="Times New Roman"/>
          <w:sz w:val="24"/>
          <w:lang w:val="en-GB"/>
        </w:rPr>
        <w:t>s</w:t>
      </w:r>
      <w:r w:rsidRPr="00795086">
        <w:rPr>
          <w:rFonts w:ascii="Times New Roman" w:hAnsi="Times New Roman"/>
          <w:sz w:val="24"/>
          <w:szCs w:val="24"/>
          <w:lang w:val="en-GB"/>
        </w:rPr>
        <w:t>hort-term versus long-term financial profitability; ecosystem services and external costs.</w:t>
      </w:r>
      <w:r w:rsidRPr="00955251">
        <w:rPr>
          <w:sz w:val="24"/>
          <w:lang w:val="en-GB"/>
        </w:rPr>
        <w:t xml:space="preserve"> </w:t>
      </w:r>
    </w:p>
    <w:p w14:paraId="52BCD5A3" w14:textId="0D7D8527" w:rsidR="009E0DDD"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Self-sufficiency in animal nutrition, including protein feed and nutrient efficiency (notably N); animal health &amp; welfare, genetics and product quality and nature inclusivity.</w:t>
      </w:r>
    </w:p>
    <w:p w14:paraId="126C8708" w14:textId="348469FA" w:rsidR="000B65D4" w:rsidRPr="00795086" w:rsidRDefault="000B65D4" w:rsidP="00387530">
      <w:pPr>
        <w:pStyle w:val="Loendilik"/>
        <w:numPr>
          <w:ilvl w:val="0"/>
          <w:numId w:val="8"/>
        </w:numPr>
        <w:spacing w:after="40"/>
        <w:ind w:left="284" w:hanging="284"/>
        <w:contextualSpacing w:val="0"/>
        <w:rPr>
          <w:rFonts w:ascii="Times New Roman" w:hAnsi="Times New Roman"/>
          <w:sz w:val="24"/>
          <w:szCs w:val="24"/>
          <w:lang w:val="en-GB"/>
        </w:rPr>
      </w:pPr>
      <w:r>
        <w:rPr>
          <w:rFonts w:ascii="Times New Roman" w:hAnsi="Times New Roman"/>
          <w:sz w:val="24"/>
          <w:szCs w:val="24"/>
          <w:lang w:val="en-GB"/>
        </w:rPr>
        <w:t xml:space="preserve">Identification of crops and animals suitable for </w:t>
      </w:r>
      <w:r w:rsidR="00832E53">
        <w:rPr>
          <w:rFonts w:ascii="Times New Roman" w:hAnsi="Times New Roman"/>
          <w:sz w:val="24"/>
          <w:szCs w:val="24"/>
          <w:lang w:val="en-GB"/>
        </w:rPr>
        <w:t xml:space="preserve">a circular approach / </w:t>
      </w:r>
      <w:r>
        <w:rPr>
          <w:rFonts w:ascii="Times New Roman" w:hAnsi="Times New Roman"/>
          <w:sz w:val="24"/>
          <w:szCs w:val="24"/>
          <w:lang w:val="en-GB"/>
        </w:rPr>
        <w:t>mixed crop-livestock farming.</w:t>
      </w:r>
    </w:p>
    <w:p w14:paraId="315CA49C" w14:textId="77777777"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 xml:space="preserve">The effect and performance of mixed crop-livestock systems at different scales, </w:t>
      </w:r>
      <w:r>
        <w:rPr>
          <w:rFonts w:ascii="Times New Roman" w:hAnsi="Times New Roman"/>
          <w:sz w:val="24"/>
          <w:szCs w:val="24"/>
          <w:lang w:val="en-GB"/>
        </w:rPr>
        <w:t>from field to farm and landscape to region</w:t>
      </w:r>
      <w:r w:rsidRPr="00795086">
        <w:rPr>
          <w:rFonts w:ascii="Times New Roman" w:hAnsi="Times New Roman"/>
          <w:sz w:val="24"/>
          <w:szCs w:val="24"/>
          <w:lang w:val="en-GB"/>
        </w:rPr>
        <w:t>.</w:t>
      </w:r>
    </w:p>
    <w:p w14:paraId="4A23B8B5" w14:textId="77777777"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Application</w:t>
      </w:r>
      <w:r w:rsidRPr="00795086">
        <w:rPr>
          <w:rFonts w:ascii="Times New Roman" w:hAnsi="Times New Roman"/>
          <w:sz w:val="24"/>
          <w:lang w:val="en-GB"/>
        </w:rPr>
        <w:t xml:space="preserve"> and </w:t>
      </w:r>
      <w:r w:rsidRPr="00795086">
        <w:rPr>
          <w:rFonts w:ascii="Times New Roman" w:hAnsi="Times New Roman"/>
          <w:sz w:val="24"/>
          <w:szCs w:val="24"/>
          <w:lang w:val="en-GB"/>
        </w:rPr>
        <w:t>development of system evaluation, including participatory research; modelling, in-depth analysis of real life case studies, multicriteria analysis, long-term effects and life cycle assessment (LCA).</w:t>
      </w:r>
    </w:p>
    <w:p w14:paraId="5771CEE5" w14:textId="75B4A7ED"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Identification and development of business models that can be coupled with mixed crop-livestock production. Organisation of local cooperation and stakeholders in new value chains</w:t>
      </w:r>
      <w:r>
        <w:rPr>
          <w:rFonts w:ascii="Times New Roman" w:hAnsi="Times New Roman"/>
          <w:sz w:val="24"/>
          <w:szCs w:val="24"/>
          <w:lang w:val="en-GB"/>
        </w:rPr>
        <w:t xml:space="preserve"> including biorefinery development</w:t>
      </w:r>
      <w:r w:rsidRPr="00795086">
        <w:rPr>
          <w:rFonts w:ascii="Times New Roman" w:hAnsi="Times New Roman"/>
          <w:sz w:val="24"/>
          <w:szCs w:val="24"/>
          <w:lang w:val="en-GB"/>
        </w:rPr>
        <w:t xml:space="preserve">. </w:t>
      </w:r>
      <w:r w:rsidRPr="00795086">
        <w:rPr>
          <w:rFonts w:ascii="Times New Roman" w:hAnsi="Times New Roman"/>
          <w:sz w:val="24"/>
          <w:szCs w:val="24"/>
          <w:lang w:val="en-US"/>
        </w:rPr>
        <w:t>Consumer-oriented approach to generate added value of new products and services</w:t>
      </w:r>
      <w:r w:rsidRPr="00795086">
        <w:rPr>
          <w:rFonts w:ascii="Times New Roman" w:hAnsi="Times New Roman"/>
          <w:sz w:val="24"/>
          <w:lang w:val="en-US"/>
        </w:rPr>
        <w:t>.</w:t>
      </w:r>
    </w:p>
    <w:p w14:paraId="441B0A8C" w14:textId="77777777"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New digital technologies related to, for example, sensors, robotics, big data or modelling to facilitate existing systems or help develop new mixed crop-livestock systems; data management; decision support systems.</w:t>
      </w:r>
    </w:p>
    <w:p w14:paraId="5C707127" w14:textId="77777777"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 xml:space="preserve">Investigations of conditions that allow mixed crop-livestock systems to succeed, including, for instance, soil-climatic aspects, </w:t>
      </w:r>
      <w:r>
        <w:rPr>
          <w:rFonts w:ascii="Times New Roman" w:hAnsi="Times New Roman"/>
          <w:sz w:val="24"/>
          <w:szCs w:val="24"/>
          <w:lang w:val="en-GB"/>
        </w:rPr>
        <w:t>production or trading systems and conditions,</w:t>
      </w:r>
      <w:r w:rsidRPr="00795086">
        <w:rPr>
          <w:rFonts w:ascii="Times New Roman" w:hAnsi="Times New Roman"/>
          <w:sz w:val="24"/>
          <w:szCs w:val="24"/>
          <w:lang w:val="en-GB"/>
        </w:rPr>
        <w:t xml:space="preserve"> human and social capital, infrastructures, institutional environment. Understanding the bottlenecks in the development of circular approaches to mixed crop-livestock systems.</w:t>
      </w:r>
    </w:p>
    <w:p w14:paraId="60B1CC45" w14:textId="12AE7DA9"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lang w:val="en-GB"/>
        </w:rPr>
        <w:t>Management strategies and practices for different conditions; u</w:t>
      </w:r>
      <w:r w:rsidRPr="00795086">
        <w:rPr>
          <w:rFonts w:ascii="Times New Roman" w:hAnsi="Times New Roman"/>
          <w:sz w:val="24"/>
          <w:szCs w:val="24"/>
          <w:lang w:val="en-GB"/>
        </w:rPr>
        <w:t xml:space="preserve">sing land, based on its quality and potential, </w:t>
      </w:r>
      <w:r w:rsidRPr="00795086">
        <w:rPr>
          <w:rFonts w:ascii="Times New Roman" w:hAnsi="Times New Roman"/>
          <w:sz w:val="24"/>
          <w:lang w:val="en-GB"/>
        </w:rPr>
        <w:t>for instance, with increasing precision and with application of sophisticated farming plans, customised fertilisation and prevention of pests, diseases and weeds</w:t>
      </w:r>
      <w:r>
        <w:rPr>
          <w:rFonts w:ascii="Times New Roman" w:hAnsi="Times New Roman"/>
          <w:sz w:val="24"/>
          <w:lang w:val="en-GB"/>
        </w:rPr>
        <w:t xml:space="preserve">, </w:t>
      </w:r>
      <w:r w:rsidRPr="00387530">
        <w:rPr>
          <w:rFonts w:ascii="Times New Roman" w:hAnsi="Times New Roman"/>
          <w:sz w:val="24"/>
          <w:lang w:val="en-US"/>
        </w:rPr>
        <w:t>outdoor systems</w:t>
      </w:r>
      <w:r w:rsidR="00104652" w:rsidRPr="00387530">
        <w:rPr>
          <w:rFonts w:ascii="Times New Roman" w:hAnsi="Times New Roman"/>
          <w:sz w:val="24"/>
          <w:lang w:val="en-US"/>
        </w:rPr>
        <w:t>, mixed animal production systems integrating different animal types</w:t>
      </w:r>
      <w:r w:rsidRPr="00795086">
        <w:rPr>
          <w:rFonts w:ascii="Times New Roman" w:hAnsi="Times New Roman"/>
          <w:sz w:val="24"/>
          <w:lang w:val="en-GB"/>
        </w:rPr>
        <w:t>.</w:t>
      </w:r>
    </w:p>
    <w:p w14:paraId="1FF64A83" w14:textId="77777777" w:rsidR="009E0DDD" w:rsidRPr="00795086" w:rsidRDefault="009E0DDD" w:rsidP="00387530">
      <w:pPr>
        <w:pStyle w:val="Loendilik"/>
        <w:numPr>
          <w:ilvl w:val="0"/>
          <w:numId w:val="8"/>
        </w:numPr>
        <w:spacing w:after="40"/>
        <w:ind w:left="284" w:hanging="284"/>
        <w:contextualSpacing w:val="0"/>
        <w:rPr>
          <w:rFonts w:ascii="Times New Roman" w:hAnsi="Times New Roman"/>
          <w:sz w:val="24"/>
          <w:szCs w:val="24"/>
          <w:lang w:val="en-GB"/>
        </w:rPr>
      </w:pPr>
      <w:r w:rsidRPr="00795086">
        <w:rPr>
          <w:rFonts w:ascii="Times New Roman" w:hAnsi="Times New Roman"/>
          <w:sz w:val="24"/>
          <w:szCs w:val="24"/>
          <w:lang w:val="en-GB"/>
        </w:rPr>
        <w:t>Identification of incentives to promote appropriate management systems</w:t>
      </w:r>
      <w:r>
        <w:rPr>
          <w:rFonts w:ascii="Times New Roman" w:hAnsi="Times New Roman"/>
          <w:sz w:val="24"/>
          <w:szCs w:val="24"/>
          <w:lang w:val="en-GB"/>
        </w:rPr>
        <w:t xml:space="preserve"> and study of the way of implementing them.</w:t>
      </w:r>
    </w:p>
    <w:p w14:paraId="46953617" w14:textId="77777777" w:rsidR="009E0DDD" w:rsidRPr="00795086" w:rsidRDefault="009E0DDD" w:rsidP="009E0DDD">
      <w:pPr>
        <w:pStyle w:val="Loendilik"/>
        <w:spacing w:after="80" w:line="264" w:lineRule="auto"/>
        <w:ind w:left="284"/>
        <w:contextualSpacing w:val="0"/>
        <w:rPr>
          <w:rFonts w:ascii="Times New Roman" w:hAnsi="Times New Roman"/>
          <w:sz w:val="24"/>
          <w:szCs w:val="24"/>
          <w:lang w:val="en-GB"/>
        </w:rPr>
      </w:pPr>
    </w:p>
    <w:p w14:paraId="6548FA87" w14:textId="77777777" w:rsidR="009E0DDD" w:rsidRPr="00795086" w:rsidRDefault="009E0DDD" w:rsidP="009E0DDD">
      <w:pPr>
        <w:pStyle w:val="Loendilik"/>
        <w:spacing w:after="80" w:line="264" w:lineRule="auto"/>
        <w:ind w:left="284"/>
        <w:contextualSpacing w:val="0"/>
        <w:rPr>
          <w:rFonts w:ascii="Times New Roman" w:hAnsi="Times New Roman"/>
          <w:sz w:val="24"/>
          <w:szCs w:val="24"/>
          <w:lang w:val="en-GB"/>
        </w:rPr>
      </w:pPr>
    </w:p>
    <w:p w14:paraId="3BBFF5A5" w14:textId="77777777" w:rsidR="009E0DDD" w:rsidRPr="00972BED" w:rsidRDefault="009E0DDD" w:rsidP="00807B9C">
      <w:pPr>
        <w:spacing w:after="120" w:line="240" w:lineRule="auto"/>
        <w:rPr>
          <w:b/>
          <w:sz w:val="24"/>
          <w:szCs w:val="24"/>
          <w:lang w:val="en-GB"/>
        </w:rPr>
      </w:pPr>
      <w:r w:rsidRPr="00972BED">
        <w:rPr>
          <w:b/>
          <w:sz w:val="24"/>
          <w:szCs w:val="24"/>
          <w:lang w:val="en-GB"/>
        </w:rPr>
        <w:t>Further information on the subject:</w:t>
      </w:r>
    </w:p>
    <w:p w14:paraId="4E3F844C" w14:textId="13D6DEB0" w:rsidR="009E0DDD" w:rsidRPr="00081093" w:rsidRDefault="009E0DDD" w:rsidP="00807B9C">
      <w:pPr>
        <w:spacing w:after="120" w:line="240" w:lineRule="auto"/>
        <w:rPr>
          <w:sz w:val="22"/>
          <w:szCs w:val="22"/>
          <w:lang w:val="en-GB"/>
        </w:rPr>
      </w:pPr>
      <w:r w:rsidRPr="00081093">
        <w:rPr>
          <w:sz w:val="22"/>
          <w:szCs w:val="22"/>
          <w:lang w:val="en-GB"/>
        </w:rPr>
        <w:t xml:space="preserve">ATF and PlantETP 2020: Research and innovation towards a more sustainable and circular European agriculture. Policy Brief, April 2020. </w:t>
      </w:r>
      <w:hyperlink r:id="rId38" w:history="1">
        <w:r w:rsidRPr="00081093">
          <w:rPr>
            <w:rStyle w:val="Hperlink"/>
            <w:sz w:val="22"/>
            <w:szCs w:val="22"/>
            <w:lang w:val="en-GB"/>
          </w:rPr>
          <w:t>http://animaltaskforce.eu/Portals/0/ATF/Downloads/ATF-PlantETP_Policy_brief_April2020.pdf</w:t>
        </w:r>
      </w:hyperlink>
    </w:p>
    <w:p w14:paraId="75C32AC7" w14:textId="1BDD9324" w:rsidR="009E0DDD" w:rsidRPr="00081093" w:rsidRDefault="009E0DDD" w:rsidP="00807B9C">
      <w:pPr>
        <w:spacing w:after="120" w:line="240" w:lineRule="auto"/>
        <w:rPr>
          <w:rStyle w:val="Hperlink"/>
          <w:sz w:val="22"/>
          <w:szCs w:val="22"/>
        </w:rPr>
      </w:pPr>
      <w:r w:rsidRPr="00081093">
        <w:rPr>
          <w:sz w:val="22"/>
          <w:szCs w:val="22"/>
          <w:lang w:val="en-GB"/>
        </w:rPr>
        <w:t xml:space="preserve">ATF and PlantETP 2019: Research and Innovation towards a more sustainable and circular European agriculture. Exploring synergies between the livestock and crop sectors. Joint Position Paper, Sep. 2019. </w:t>
      </w:r>
      <w:hyperlink r:id="rId39" w:history="1">
        <w:r w:rsidRPr="00081093">
          <w:rPr>
            <w:rStyle w:val="Hperlink"/>
            <w:sz w:val="22"/>
            <w:szCs w:val="22"/>
          </w:rPr>
          <w:t>http://www.plantetp.org/research-and-innovation-towards-more-sustainable-and-circular-european-agriculture-exploring</w:t>
        </w:r>
      </w:hyperlink>
    </w:p>
    <w:p w14:paraId="5B4D05F5" w14:textId="77777777" w:rsidR="009E0DDD" w:rsidRPr="00387530" w:rsidRDefault="009E0DDD" w:rsidP="00807B9C">
      <w:pPr>
        <w:spacing w:after="120" w:line="240" w:lineRule="auto"/>
        <w:rPr>
          <w:rStyle w:val="Hperlink"/>
          <w:sz w:val="22"/>
          <w:szCs w:val="22"/>
          <w:lang w:val="en-US"/>
        </w:rPr>
      </w:pPr>
      <w:r w:rsidRPr="0095631F">
        <w:rPr>
          <w:rStyle w:val="Hperlink"/>
          <w:color w:val="auto"/>
          <w:sz w:val="22"/>
          <w:szCs w:val="22"/>
          <w:u w:val="none"/>
          <w:lang w:val="en-US"/>
        </w:rPr>
        <w:t>De Boer, I.J.M. &amp; Van Ittersum, M.K. 2018: Circularity in agricultural production. Wageningen University &amp; Research.</w:t>
      </w:r>
      <w:r w:rsidRPr="0095631F">
        <w:rPr>
          <w:rStyle w:val="Hperlink"/>
          <w:color w:val="auto"/>
          <w:sz w:val="22"/>
          <w:szCs w:val="22"/>
          <w:u w:val="none"/>
          <w:lang w:val="en-US"/>
        </w:rPr>
        <w:br/>
      </w:r>
      <w:r w:rsidRPr="00387530">
        <w:rPr>
          <w:rStyle w:val="Hperlink"/>
          <w:sz w:val="22"/>
          <w:szCs w:val="22"/>
          <w:lang w:val="en-US"/>
        </w:rPr>
        <w:t>https://www.wur.nl/en/show/Circularity-in-agricultural-production.htm</w:t>
      </w:r>
    </w:p>
    <w:p w14:paraId="34EA76F9" w14:textId="45428B0F" w:rsidR="009E0DDD" w:rsidRPr="00081093" w:rsidRDefault="009E0DDD" w:rsidP="00807B9C">
      <w:pPr>
        <w:spacing w:after="120" w:line="240" w:lineRule="auto"/>
        <w:rPr>
          <w:sz w:val="22"/>
          <w:szCs w:val="22"/>
          <w:lang w:val="en-GB"/>
        </w:rPr>
      </w:pPr>
      <w:r w:rsidRPr="00081093">
        <w:rPr>
          <w:sz w:val="22"/>
          <w:szCs w:val="22"/>
          <w:lang w:val="en-GB"/>
        </w:rPr>
        <w:t xml:space="preserve">Dutch Ministry of Agriculture, Nature and Food Quality 2018: Vision Ministry of Agriculture, Nature and Food Quality. Policy note 19-11-2018. </w:t>
      </w:r>
      <w:hyperlink r:id="rId40" w:history="1">
        <w:r w:rsidRPr="00081093">
          <w:rPr>
            <w:rStyle w:val="Hperlink"/>
            <w:sz w:val="22"/>
            <w:szCs w:val="22"/>
            <w:lang w:val="en-GB"/>
          </w:rPr>
          <w:t>https://www.government.nl/ministries/ministry-of-agriculture-nature-and-food-quality/documents/policy-notes/2018/11/19/vision-ministry-of-agriculture-nature-and-food-quality---english</w:t>
        </w:r>
      </w:hyperlink>
    </w:p>
    <w:p w14:paraId="21E308AC" w14:textId="62705457" w:rsidR="009E0DDD" w:rsidRPr="00081093" w:rsidRDefault="009E0DDD" w:rsidP="00807B9C">
      <w:pPr>
        <w:spacing w:after="120" w:line="240" w:lineRule="auto"/>
        <w:rPr>
          <w:sz w:val="22"/>
          <w:szCs w:val="22"/>
          <w:lang w:val="en-GB"/>
        </w:rPr>
      </w:pPr>
      <w:r w:rsidRPr="00081093">
        <w:rPr>
          <w:sz w:val="22"/>
          <w:szCs w:val="22"/>
          <w:lang w:val="en-GB"/>
        </w:rPr>
        <w:t xml:space="preserve">European Commission 2020: Farm to Fork Strategy - for a fair, healthy and environmentally-friendly food system. </w:t>
      </w:r>
      <w:hyperlink r:id="rId41" w:history="1">
        <w:r w:rsidRPr="00081093">
          <w:rPr>
            <w:rStyle w:val="Hperlink"/>
            <w:sz w:val="22"/>
            <w:szCs w:val="22"/>
            <w:lang w:val="en-GB"/>
          </w:rPr>
          <w:t>https://ec.europa.eu/food/farm2fork_en</w:t>
        </w:r>
      </w:hyperlink>
    </w:p>
    <w:p w14:paraId="1DD07CA3" w14:textId="31DD1606" w:rsidR="009E0DDD" w:rsidRPr="00081093" w:rsidRDefault="009E0DDD" w:rsidP="00807B9C">
      <w:pPr>
        <w:spacing w:after="120" w:line="240" w:lineRule="auto"/>
        <w:rPr>
          <w:sz w:val="22"/>
          <w:szCs w:val="22"/>
        </w:rPr>
      </w:pPr>
      <w:r w:rsidRPr="00081093">
        <w:rPr>
          <w:sz w:val="22"/>
          <w:szCs w:val="22"/>
          <w:lang w:val="en-GB"/>
        </w:rPr>
        <w:t xml:space="preserve">EIP-AGRI Focus Group </w:t>
      </w:r>
      <w:r w:rsidRPr="00081093">
        <w:rPr>
          <w:i/>
          <w:sz w:val="22"/>
          <w:szCs w:val="22"/>
          <w:lang w:val="en-GB"/>
        </w:rPr>
        <w:t>Grazing for Carbon</w:t>
      </w:r>
      <w:r w:rsidRPr="00081093">
        <w:rPr>
          <w:sz w:val="22"/>
          <w:szCs w:val="22"/>
          <w:lang w:val="en-GB"/>
        </w:rPr>
        <w:t xml:space="preserve"> 2018: Final report, Sep 2018. </w:t>
      </w:r>
      <w:hyperlink r:id="rId42" w:history="1">
        <w:r w:rsidRPr="00081093">
          <w:rPr>
            <w:rStyle w:val="Hperlink"/>
            <w:sz w:val="22"/>
            <w:szCs w:val="22"/>
          </w:rPr>
          <w:t>https://ec.europa.eu/eip/agriculture/en/publications/eip-agri-focus-group-grazing-carbon-final-report</w:t>
        </w:r>
      </w:hyperlink>
    </w:p>
    <w:p w14:paraId="624A3DFF" w14:textId="41864CD4" w:rsidR="009E0DDD" w:rsidRPr="00387530" w:rsidRDefault="009E0DDD" w:rsidP="00807B9C">
      <w:pPr>
        <w:spacing w:after="120" w:line="240" w:lineRule="auto"/>
        <w:rPr>
          <w:sz w:val="22"/>
          <w:szCs w:val="22"/>
          <w:lang w:val="en-US"/>
        </w:rPr>
      </w:pPr>
      <w:r w:rsidRPr="00081093">
        <w:rPr>
          <w:sz w:val="22"/>
          <w:szCs w:val="22"/>
          <w:lang w:val="en-GB"/>
        </w:rPr>
        <w:t xml:space="preserve">EIP-AGRI Focus Group </w:t>
      </w:r>
      <w:r w:rsidRPr="00081093">
        <w:rPr>
          <w:i/>
          <w:sz w:val="22"/>
          <w:szCs w:val="22"/>
          <w:lang w:val="en-GB"/>
        </w:rPr>
        <w:t>Mixed Farming Systems</w:t>
      </w:r>
      <w:r w:rsidRPr="00081093">
        <w:rPr>
          <w:sz w:val="22"/>
          <w:szCs w:val="22"/>
          <w:lang w:val="en-GB"/>
        </w:rPr>
        <w:t xml:space="preserve"> 2017: Mixed farming systems: livestock/cash crops. Final report, May 2017. </w:t>
      </w:r>
      <w:hyperlink r:id="rId43" w:history="1">
        <w:r w:rsidRPr="00081093">
          <w:rPr>
            <w:rStyle w:val="Hperlink"/>
            <w:sz w:val="22"/>
            <w:szCs w:val="22"/>
            <w:lang w:val="en-GB"/>
          </w:rPr>
          <w:t>https://ec.europa.eu/eip/agriculture/en/publications/eip-agri-focus-group-mixed-farming-systems-final</w:t>
        </w:r>
      </w:hyperlink>
    </w:p>
    <w:p w14:paraId="55395619" w14:textId="77777777" w:rsidR="009E0DDD" w:rsidRPr="00387530" w:rsidRDefault="009E0DDD" w:rsidP="00807B9C">
      <w:pPr>
        <w:spacing w:after="120" w:line="240" w:lineRule="auto"/>
        <w:rPr>
          <w:sz w:val="22"/>
          <w:szCs w:val="22"/>
        </w:rPr>
      </w:pPr>
      <w:r w:rsidRPr="00081093">
        <w:rPr>
          <w:sz w:val="22"/>
          <w:szCs w:val="22"/>
          <w:lang w:val="en-GB"/>
        </w:rPr>
        <w:t xml:space="preserve">EIP-AGRI Workshop on Circular Bioeconomy: Opportunities for farm diversification in the circular bioeconomy Final report, May 2019. </w:t>
      </w:r>
      <w:hyperlink r:id="rId44" w:history="1">
        <w:r w:rsidRPr="00387530">
          <w:rPr>
            <w:rStyle w:val="Hperlink"/>
            <w:sz w:val="22"/>
            <w:szCs w:val="22"/>
          </w:rPr>
          <w:t>https://ec.europa.eu/eip/agriculture/en/publications/eip-agri-workshop-circular-bioeconomy-final-report</w:t>
        </w:r>
      </w:hyperlink>
      <w:r w:rsidRPr="00387530">
        <w:rPr>
          <w:sz w:val="22"/>
          <w:szCs w:val="22"/>
        </w:rPr>
        <w:t xml:space="preserve"> </w:t>
      </w:r>
    </w:p>
    <w:p w14:paraId="016C48DB" w14:textId="64D9F3DA" w:rsidR="00143DDE" w:rsidRPr="00387530" w:rsidRDefault="00143DDE" w:rsidP="00D674E0">
      <w:pPr>
        <w:spacing w:after="0"/>
        <w:rPr>
          <w:sz w:val="22"/>
          <w:szCs w:val="22"/>
        </w:rPr>
      </w:pPr>
    </w:p>
    <w:p w14:paraId="186CE7C3" w14:textId="295A9AFE" w:rsidR="004A6B17" w:rsidRPr="00387530" w:rsidRDefault="004A6B17" w:rsidP="00D674E0">
      <w:pPr>
        <w:spacing w:after="0"/>
        <w:rPr>
          <w:sz w:val="24"/>
          <w:szCs w:val="24"/>
        </w:rPr>
      </w:pPr>
    </w:p>
    <w:p w14:paraId="13F8BEE5" w14:textId="591F24D8" w:rsidR="004A6B17" w:rsidRPr="00387530" w:rsidRDefault="004A6B17" w:rsidP="00D674E0">
      <w:pPr>
        <w:spacing w:after="0"/>
        <w:rPr>
          <w:sz w:val="24"/>
          <w:szCs w:val="24"/>
        </w:rPr>
      </w:pPr>
    </w:p>
    <w:p w14:paraId="1AD549D6" w14:textId="7249D882" w:rsidR="00337E87" w:rsidRPr="00387530" w:rsidRDefault="00337E87" w:rsidP="00D674E0">
      <w:pPr>
        <w:spacing w:after="0"/>
        <w:rPr>
          <w:sz w:val="24"/>
          <w:szCs w:val="24"/>
        </w:rPr>
      </w:pPr>
    </w:p>
    <w:p w14:paraId="1603F588" w14:textId="77777777" w:rsidR="00337E87" w:rsidRPr="00387530" w:rsidRDefault="00337E87" w:rsidP="00D674E0">
      <w:pPr>
        <w:spacing w:after="0"/>
        <w:rPr>
          <w:sz w:val="24"/>
          <w:szCs w:val="24"/>
        </w:rPr>
      </w:pPr>
    </w:p>
    <w:p w14:paraId="4849BF56" w14:textId="77777777" w:rsidR="00143DDE" w:rsidRPr="00387530" w:rsidRDefault="00143DDE" w:rsidP="00143DDE">
      <w:pPr>
        <w:spacing w:after="0"/>
        <w:rPr>
          <w:noProof/>
          <w:sz w:val="24"/>
          <w:szCs w:val="24"/>
          <w:lang w:val="en-US"/>
        </w:rPr>
      </w:pPr>
      <w:r w:rsidRPr="00387530">
        <w:rPr>
          <w:b/>
          <w:noProof/>
          <w:sz w:val="24"/>
          <w:szCs w:val="24"/>
          <w:lang w:val="en-US"/>
        </w:rPr>
        <w:t>Disclaimer:</w:t>
      </w:r>
      <w:r w:rsidRPr="00387530">
        <w:rPr>
          <w:noProof/>
          <w:sz w:val="24"/>
          <w:szCs w:val="24"/>
          <w:lang w:val="en-US"/>
        </w:rPr>
        <w:t xml:space="preserve"> The four ERA-NET consortia will not accept any liability for the content of this pre-announcement, nor for the consequences of any actions taken based on the information provided</w:t>
      </w:r>
    </w:p>
    <w:sectPr w:rsidR="00143DDE" w:rsidRPr="00387530" w:rsidSect="00F55CB9">
      <w:footerReference w:type="default" r:id="rId4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56883" w14:textId="77777777" w:rsidR="00101C1C" w:rsidRDefault="00101C1C" w:rsidP="007543CA">
      <w:pPr>
        <w:spacing w:after="0" w:line="240" w:lineRule="auto"/>
      </w:pPr>
      <w:r>
        <w:separator/>
      </w:r>
    </w:p>
  </w:endnote>
  <w:endnote w:type="continuationSeparator" w:id="0">
    <w:p w14:paraId="4C893C06" w14:textId="77777777" w:rsidR="00101C1C" w:rsidRDefault="00101C1C"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78195"/>
      <w:docPartObj>
        <w:docPartGallery w:val="Page Numbers (Bottom of Page)"/>
        <w:docPartUnique/>
      </w:docPartObj>
    </w:sdtPr>
    <w:sdtEndPr/>
    <w:sdtContent>
      <w:p w14:paraId="18BF52DB" w14:textId="4F1F413C" w:rsidR="00393A8B" w:rsidRDefault="00393A8B">
        <w:pPr>
          <w:pStyle w:val="Jalus"/>
          <w:jc w:val="center"/>
        </w:pPr>
        <w:r>
          <w:fldChar w:fldCharType="begin"/>
        </w:r>
        <w:r>
          <w:instrText>PAGE   \* MERGEFORMAT</w:instrText>
        </w:r>
        <w:r>
          <w:fldChar w:fldCharType="separate"/>
        </w:r>
        <w:r w:rsidR="009E269D">
          <w:rPr>
            <w:noProof/>
          </w:rPr>
          <w:t>2</w:t>
        </w:r>
        <w:r>
          <w:fldChar w:fldCharType="end"/>
        </w:r>
      </w:p>
    </w:sdtContent>
  </w:sdt>
  <w:p w14:paraId="6C20D1FA" w14:textId="77777777" w:rsidR="00037EDE" w:rsidRDefault="00037ED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EEFC" w14:textId="77777777" w:rsidR="00101C1C" w:rsidRDefault="00101C1C" w:rsidP="007543CA">
      <w:pPr>
        <w:spacing w:after="0" w:line="240" w:lineRule="auto"/>
      </w:pPr>
      <w:r>
        <w:separator/>
      </w:r>
    </w:p>
  </w:footnote>
  <w:footnote w:type="continuationSeparator" w:id="0">
    <w:p w14:paraId="2B523DA8" w14:textId="77777777" w:rsidR="00101C1C" w:rsidRDefault="00101C1C" w:rsidP="00754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4EE8"/>
    <w:multiLevelType w:val="hybridMultilevel"/>
    <w:tmpl w:val="BA1EAD94"/>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4471169"/>
    <w:multiLevelType w:val="hybridMultilevel"/>
    <w:tmpl w:val="1F846F8C"/>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F1C28"/>
    <w:multiLevelType w:val="hybridMultilevel"/>
    <w:tmpl w:val="3B1CF8BC"/>
    <w:lvl w:ilvl="0" w:tplc="CFAA5674">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A24D04"/>
    <w:multiLevelType w:val="hybridMultilevel"/>
    <w:tmpl w:val="10C82BFA"/>
    <w:lvl w:ilvl="0" w:tplc="23AA7774">
      <w:start w:val="380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6E48A5"/>
    <w:multiLevelType w:val="hybridMultilevel"/>
    <w:tmpl w:val="4978E6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22B3851"/>
    <w:multiLevelType w:val="hybridMultilevel"/>
    <w:tmpl w:val="E8CA2AF8"/>
    <w:lvl w:ilvl="0" w:tplc="E3BAE170">
      <w:start w:val="1"/>
      <w:numFmt w:val="bullet"/>
      <w:pStyle w:val="Liste1"/>
      <w:lvlText w:val="»"/>
      <w:lvlJc w:val="left"/>
      <w:pPr>
        <w:ind w:left="72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731E7"/>
    <w:multiLevelType w:val="hybridMultilevel"/>
    <w:tmpl w:val="332224F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0D6384"/>
    <w:multiLevelType w:val="hybridMultilevel"/>
    <w:tmpl w:val="5DD67926"/>
    <w:lvl w:ilvl="0" w:tplc="216A40E4">
      <w:start w:val="1"/>
      <w:numFmt w:val="bullet"/>
      <w:pStyle w:val="GAbullet0cm"/>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2225D8E"/>
    <w:multiLevelType w:val="hybridMultilevel"/>
    <w:tmpl w:val="A1943A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4E"/>
    <w:rsid w:val="000042D5"/>
    <w:rsid w:val="000076F5"/>
    <w:rsid w:val="00037EDE"/>
    <w:rsid w:val="0004008A"/>
    <w:rsid w:val="00062CF8"/>
    <w:rsid w:val="00074746"/>
    <w:rsid w:val="00076FA5"/>
    <w:rsid w:val="00077223"/>
    <w:rsid w:val="00081093"/>
    <w:rsid w:val="000822DB"/>
    <w:rsid w:val="00092F37"/>
    <w:rsid w:val="000A100D"/>
    <w:rsid w:val="000A276D"/>
    <w:rsid w:val="000A2AFA"/>
    <w:rsid w:val="000A76FD"/>
    <w:rsid w:val="000A7CF0"/>
    <w:rsid w:val="000B4AA1"/>
    <w:rsid w:val="000B65D4"/>
    <w:rsid w:val="000C3EFE"/>
    <w:rsid w:val="000E10F2"/>
    <w:rsid w:val="000E12A2"/>
    <w:rsid w:val="000E32F9"/>
    <w:rsid w:val="000E5BE7"/>
    <w:rsid w:val="000E7770"/>
    <w:rsid w:val="000F600E"/>
    <w:rsid w:val="000F7A1B"/>
    <w:rsid w:val="00101C1C"/>
    <w:rsid w:val="00104652"/>
    <w:rsid w:val="001111F6"/>
    <w:rsid w:val="00125C80"/>
    <w:rsid w:val="00130194"/>
    <w:rsid w:val="00143DDE"/>
    <w:rsid w:val="00150330"/>
    <w:rsid w:val="001626B0"/>
    <w:rsid w:val="00183E41"/>
    <w:rsid w:val="001A43BD"/>
    <w:rsid w:val="001A7094"/>
    <w:rsid w:val="001D4804"/>
    <w:rsid w:val="001E1409"/>
    <w:rsid w:val="001F530F"/>
    <w:rsid w:val="002115E5"/>
    <w:rsid w:val="002165DA"/>
    <w:rsid w:val="0021765E"/>
    <w:rsid w:val="00222B04"/>
    <w:rsid w:val="00242B98"/>
    <w:rsid w:val="00242C50"/>
    <w:rsid w:val="00260895"/>
    <w:rsid w:val="00274D31"/>
    <w:rsid w:val="00275A8B"/>
    <w:rsid w:val="0028195C"/>
    <w:rsid w:val="00296AFB"/>
    <w:rsid w:val="002A2CCD"/>
    <w:rsid w:val="002D3DAE"/>
    <w:rsid w:val="002D40DD"/>
    <w:rsid w:val="002D53DB"/>
    <w:rsid w:val="00314F4E"/>
    <w:rsid w:val="00335E74"/>
    <w:rsid w:val="00337E87"/>
    <w:rsid w:val="00344F50"/>
    <w:rsid w:val="0034796A"/>
    <w:rsid w:val="003542F3"/>
    <w:rsid w:val="00362DDE"/>
    <w:rsid w:val="00373F72"/>
    <w:rsid w:val="00385DCD"/>
    <w:rsid w:val="00387530"/>
    <w:rsid w:val="00393A8B"/>
    <w:rsid w:val="003B3A40"/>
    <w:rsid w:val="003B3FAB"/>
    <w:rsid w:val="003B53A7"/>
    <w:rsid w:val="003D46C6"/>
    <w:rsid w:val="003E4AB8"/>
    <w:rsid w:val="003F2BC0"/>
    <w:rsid w:val="0040703A"/>
    <w:rsid w:val="0042125E"/>
    <w:rsid w:val="0043024F"/>
    <w:rsid w:val="00435985"/>
    <w:rsid w:val="00461808"/>
    <w:rsid w:val="0046615E"/>
    <w:rsid w:val="004A6B17"/>
    <w:rsid w:val="004A7E70"/>
    <w:rsid w:val="004B7772"/>
    <w:rsid w:val="004C3E2E"/>
    <w:rsid w:val="004D55A4"/>
    <w:rsid w:val="004D5A1D"/>
    <w:rsid w:val="004F4F58"/>
    <w:rsid w:val="00506222"/>
    <w:rsid w:val="00510C9E"/>
    <w:rsid w:val="005110AC"/>
    <w:rsid w:val="005431A4"/>
    <w:rsid w:val="00552E73"/>
    <w:rsid w:val="0056332F"/>
    <w:rsid w:val="0056526F"/>
    <w:rsid w:val="00583A33"/>
    <w:rsid w:val="00585D5E"/>
    <w:rsid w:val="00594037"/>
    <w:rsid w:val="00596F01"/>
    <w:rsid w:val="005A71D4"/>
    <w:rsid w:val="005C26B9"/>
    <w:rsid w:val="005D768A"/>
    <w:rsid w:val="005E095E"/>
    <w:rsid w:val="005F67AD"/>
    <w:rsid w:val="005F76EF"/>
    <w:rsid w:val="0061046E"/>
    <w:rsid w:val="00610799"/>
    <w:rsid w:val="006119E5"/>
    <w:rsid w:val="006141F3"/>
    <w:rsid w:val="00615576"/>
    <w:rsid w:val="006234AE"/>
    <w:rsid w:val="00627656"/>
    <w:rsid w:val="0063091B"/>
    <w:rsid w:val="00635B3B"/>
    <w:rsid w:val="00637E3F"/>
    <w:rsid w:val="00643D79"/>
    <w:rsid w:val="006549F1"/>
    <w:rsid w:val="00661509"/>
    <w:rsid w:val="00665255"/>
    <w:rsid w:val="00666A7C"/>
    <w:rsid w:val="00676F90"/>
    <w:rsid w:val="006A26C4"/>
    <w:rsid w:val="006A3B10"/>
    <w:rsid w:val="006B41BD"/>
    <w:rsid w:val="006C493A"/>
    <w:rsid w:val="006D3E1A"/>
    <w:rsid w:val="006E5B87"/>
    <w:rsid w:val="006F1D55"/>
    <w:rsid w:val="007341B3"/>
    <w:rsid w:val="007451E9"/>
    <w:rsid w:val="00745D8E"/>
    <w:rsid w:val="007543CA"/>
    <w:rsid w:val="00792945"/>
    <w:rsid w:val="00795CFE"/>
    <w:rsid w:val="007C1AD1"/>
    <w:rsid w:val="007C4015"/>
    <w:rsid w:val="007D0DE5"/>
    <w:rsid w:val="00807B9C"/>
    <w:rsid w:val="00813A7E"/>
    <w:rsid w:val="008152D5"/>
    <w:rsid w:val="00816AAA"/>
    <w:rsid w:val="008226D4"/>
    <w:rsid w:val="00832E53"/>
    <w:rsid w:val="0084104E"/>
    <w:rsid w:val="00851A46"/>
    <w:rsid w:val="00852FA1"/>
    <w:rsid w:val="00862CE9"/>
    <w:rsid w:val="00894799"/>
    <w:rsid w:val="00897B97"/>
    <w:rsid w:val="008A55D5"/>
    <w:rsid w:val="008B23FF"/>
    <w:rsid w:val="008B2F08"/>
    <w:rsid w:val="008B6580"/>
    <w:rsid w:val="008B6879"/>
    <w:rsid w:val="008C484D"/>
    <w:rsid w:val="008D1EA2"/>
    <w:rsid w:val="008D3AB9"/>
    <w:rsid w:val="008E03B5"/>
    <w:rsid w:val="008E363B"/>
    <w:rsid w:val="00905E3F"/>
    <w:rsid w:val="0091513E"/>
    <w:rsid w:val="00925901"/>
    <w:rsid w:val="0095076D"/>
    <w:rsid w:val="00955AB8"/>
    <w:rsid w:val="009561AB"/>
    <w:rsid w:val="0095631F"/>
    <w:rsid w:val="009574B3"/>
    <w:rsid w:val="00972BED"/>
    <w:rsid w:val="00987E51"/>
    <w:rsid w:val="009A493E"/>
    <w:rsid w:val="009A756C"/>
    <w:rsid w:val="009B55E0"/>
    <w:rsid w:val="009C33CE"/>
    <w:rsid w:val="009C376D"/>
    <w:rsid w:val="009C7DC3"/>
    <w:rsid w:val="009E0DDD"/>
    <w:rsid w:val="009E269D"/>
    <w:rsid w:val="009E4312"/>
    <w:rsid w:val="009F03A3"/>
    <w:rsid w:val="009F0CB0"/>
    <w:rsid w:val="00A00474"/>
    <w:rsid w:val="00A064A6"/>
    <w:rsid w:val="00A17BF5"/>
    <w:rsid w:val="00A2767A"/>
    <w:rsid w:val="00A309B3"/>
    <w:rsid w:val="00A30A44"/>
    <w:rsid w:val="00A37F05"/>
    <w:rsid w:val="00A41310"/>
    <w:rsid w:val="00A61C01"/>
    <w:rsid w:val="00A62742"/>
    <w:rsid w:val="00A7141F"/>
    <w:rsid w:val="00A71B02"/>
    <w:rsid w:val="00A74CD7"/>
    <w:rsid w:val="00A75DEE"/>
    <w:rsid w:val="00A82737"/>
    <w:rsid w:val="00A877AA"/>
    <w:rsid w:val="00A91D42"/>
    <w:rsid w:val="00A939E4"/>
    <w:rsid w:val="00AB11D4"/>
    <w:rsid w:val="00AB2F0E"/>
    <w:rsid w:val="00AC59FB"/>
    <w:rsid w:val="00AD0A23"/>
    <w:rsid w:val="00AD4295"/>
    <w:rsid w:val="00AD4ECD"/>
    <w:rsid w:val="00AD698B"/>
    <w:rsid w:val="00AD73EA"/>
    <w:rsid w:val="00AE28F5"/>
    <w:rsid w:val="00AF3F7F"/>
    <w:rsid w:val="00AF4C16"/>
    <w:rsid w:val="00B11982"/>
    <w:rsid w:val="00B1720C"/>
    <w:rsid w:val="00B21029"/>
    <w:rsid w:val="00B26A25"/>
    <w:rsid w:val="00B5350A"/>
    <w:rsid w:val="00B5503D"/>
    <w:rsid w:val="00B6074A"/>
    <w:rsid w:val="00B60B93"/>
    <w:rsid w:val="00B84348"/>
    <w:rsid w:val="00B925F7"/>
    <w:rsid w:val="00BA3736"/>
    <w:rsid w:val="00BA38FB"/>
    <w:rsid w:val="00BB5130"/>
    <w:rsid w:val="00BB531E"/>
    <w:rsid w:val="00BC05DE"/>
    <w:rsid w:val="00BD6EE2"/>
    <w:rsid w:val="00BE4F03"/>
    <w:rsid w:val="00BF6A9E"/>
    <w:rsid w:val="00BF6ACC"/>
    <w:rsid w:val="00C20702"/>
    <w:rsid w:val="00C210CF"/>
    <w:rsid w:val="00C4193D"/>
    <w:rsid w:val="00C46BF9"/>
    <w:rsid w:val="00C46C0E"/>
    <w:rsid w:val="00C76556"/>
    <w:rsid w:val="00C83231"/>
    <w:rsid w:val="00C9025B"/>
    <w:rsid w:val="00CB0112"/>
    <w:rsid w:val="00CB3027"/>
    <w:rsid w:val="00CB5CF6"/>
    <w:rsid w:val="00CB7A14"/>
    <w:rsid w:val="00CB7B2B"/>
    <w:rsid w:val="00CC1ECD"/>
    <w:rsid w:val="00CC2922"/>
    <w:rsid w:val="00CE35C7"/>
    <w:rsid w:val="00CE5045"/>
    <w:rsid w:val="00CE65D9"/>
    <w:rsid w:val="00CF1877"/>
    <w:rsid w:val="00CF26CA"/>
    <w:rsid w:val="00D02663"/>
    <w:rsid w:val="00D11766"/>
    <w:rsid w:val="00D14DFC"/>
    <w:rsid w:val="00D25B0C"/>
    <w:rsid w:val="00D429D3"/>
    <w:rsid w:val="00D50EA2"/>
    <w:rsid w:val="00D510CE"/>
    <w:rsid w:val="00D5421F"/>
    <w:rsid w:val="00D674E0"/>
    <w:rsid w:val="00D806BB"/>
    <w:rsid w:val="00D914E2"/>
    <w:rsid w:val="00D9593D"/>
    <w:rsid w:val="00DA5F8F"/>
    <w:rsid w:val="00DB1965"/>
    <w:rsid w:val="00DC131B"/>
    <w:rsid w:val="00DE0A5D"/>
    <w:rsid w:val="00DE46D0"/>
    <w:rsid w:val="00DF7271"/>
    <w:rsid w:val="00E060C1"/>
    <w:rsid w:val="00E15405"/>
    <w:rsid w:val="00E176C7"/>
    <w:rsid w:val="00E43F6F"/>
    <w:rsid w:val="00E443AA"/>
    <w:rsid w:val="00E45361"/>
    <w:rsid w:val="00E5175F"/>
    <w:rsid w:val="00E51E13"/>
    <w:rsid w:val="00E6461C"/>
    <w:rsid w:val="00E755C2"/>
    <w:rsid w:val="00E96AF7"/>
    <w:rsid w:val="00EC5D0E"/>
    <w:rsid w:val="00EC6FBC"/>
    <w:rsid w:val="00ED252A"/>
    <w:rsid w:val="00EE10EB"/>
    <w:rsid w:val="00EF0466"/>
    <w:rsid w:val="00F00388"/>
    <w:rsid w:val="00F01074"/>
    <w:rsid w:val="00F0389A"/>
    <w:rsid w:val="00F12EBA"/>
    <w:rsid w:val="00F13774"/>
    <w:rsid w:val="00F24C88"/>
    <w:rsid w:val="00F278D5"/>
    <w:rsid w:val="00F328C4"/>
    <w:rsid w:val="00F37E74"/>
    <w:rsid w:val="00F53653"/>
    <w:rsid w:val="00F53E6C"/>
    <w:rsid w:val="00F55CB9"/>
    <w:rsid w:val="00F55F5F"/>
    <w:rsid w:val="00F6500B"/>
    <w:rsid w:val="00F67211"/>
    <w:rsid w:val="00F72296"/>
    <w:rsid w:val="00F81E35"/>
    <w:rsid w:val="00F81E5B"/>
    <w:rsid w:val="00F8234F"/>
    <w:rsid w:val="00F917CF"/>
    <w:rsid w:val="00F91DA8"/>
    <w:rsid w:val="00FA7E5D"/>
    <w:rsid w:val="00FB30AB"/>
    <w:rsid w:val="00FC0157"/>
    <w:rsid w:val="00FC326F"/>
    <w:rsid w:val="00FC7949"/>
    <w:rsid w:val="00FE3FC8"/>
    <w:rsid w:val="00FF08A3"/>
    <w:rsid w:val="00FF5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7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E4AB8"/>
  </w:style>
  <w:style w:type="paragraph" w:styleId="Pealkiri1">
    <w:name w:val="heading 1"/>
    <w:next w:val="Normaallaad"/>
    <w:link w:val="Pealkiri1Mrk"/>
    <w:uiPriority w:val="9"/>
    <w:unhideWhenUsed/>
    <w:qFormat/>
    <w:rsid w:val="000B4AA1"/>
    <w:pPr>
      <w:keepNext/>
      <w:keepLines/>
      <w:spacing w:after="126" w:line="267" w:lineRule="auto"/>
      <w:ind w:left="15" w:hanging="10"/>
      <w:outlineLvl w:val="0"/>
    </w:pPr>
    <w:rPr>
      <w:rFonts w:eastAsia="Times New Roman"/>
      <w:b/>
      <w:color w:val="000000"/>
      <w:sz w:val="24"/>
      <w:szCs w:val="22"/>
      <w:lang w:eastAsia="de-D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543CA"/>
    <w:pPr>
      <w:tabs>
        <w:tab w:val="center" w:pos="4536"/>
        <w:tab w:val="right" w:pos="9072"/>
      </w:tabs>
    </w:pPr>
  </w:style>
  <w:style w:type="character" w:customStyle="1" w:styleId="PisMrk">
    <w:name w:val="Päis Märk"/>
    <w:basedOn w:val="Liguvaikefont"/>
    <w:link w:val="Pis"/>
    <w:uiPriority w:val="99"/>
    <w:rsid w:val="007543CA"/>
  </w:style>
  <w:style w:type="paragraph" w:styleId="Jalus">
    <w:name w:val="footer"/>
    <w:basedOn w:val="Normaallaad"/>
    <w:link w:val="JalusMrk"/>
    <w:uiPriority w:val="99"/>
    <w:unhideWhenUsed/>
    <w:rsid w:val="007543CA"/>
    <w:pPr>
      <w:tabs>
        <w:tab w:val="center" w:pos="4536"/>
        <w:tab w:val="right" w:pos="9072"/>
      </w:tabs>
    </w:pPr>
  </w:style>
  <w:style w:type="character" w:customStyle="1" w:styleId="JalusMrk">
    <w:name w:val="Jalus Märk"/>
    <w:basedOn w:val="Liguvaikefont"/>
    <w:link w:val="Jalus"/>
    <w:uiPriority w:val="99"/>
    <w:rsid w:val="007543CA"/>
  </w:style>
  <w:style w:type="character" w:styleId="Hperlink">
    <w:name w:val="Hyperlink"/>
    <w:basedOn w:val="Liguvaikefont"/>
    <w:uiPriority w:val="99"/>
    <w:unhideWhenUsed/>
    <w:rsid w:val="00242C50"/>
    <w:rPr>
      <w:color w:val="0000FF" w:themeColor="hyperlink"/>
      <w:u w:val="single"/>
    </w:rPr>
  </w:style>
  <w:style w:type="character" w:styleId="Kommentaariviide">
    <w:name w:val="annotation reference"/>
    <w:basedOn w:val="Liguvaikefont"/>
    <w:uiPriority w:val="99"/>
    <w:semiHidden/>
    <w:unhideWhenUsed/>
    <w:rsid w:val="00461808"/>
    <w:rPr>
      <w:sz w:val="16"/>
      <w:szCs w:val="16"/>
    </w:rPr>
  </w:style>
  <w:style w:type="paragraph" w:styleId="Kommentaaritekst">
    <w:name w:val="annotation text"/>
    <w:basedOn w:val="Normaallaad"/>
    <w:link w:val="KommentaaritekstMrk"/>
    <w:uiPriority w:val="99"/>
    <w:semiHidden/>
    <w:unhideWhenUsed/>
    <w:rsid w:val="00461808"/>
    <w:pPr>
      <w:spacing w:line="240" w:lineRule="auto"/>
    </w:pPr>
  </w:style>
  <w:style w:type="character" w:customStyle="1" w:styleId="KommentaaritekstMrk">
    <w:name w:val="Kommentaari tekst Märk"/>
    <w:basedOn w:val="Liguvaikefont"/>
    <w:link w:val="Kommentaaritekst"/>
    <w:uiPriority w:val="99"/>
    <w:semiHidden/>
    <w:rsid w:val="00461808"/>
  </w:style>
  <w:style w:type="paragraph" w:styleId="Kommentaariteema">
    <w:name w:val="annotation subject"/>
    <w:basedOn w:val="Kommentaaritekst"/>
    <w:next w:val="Kommentaaritekst"/>
    <w:link w:val="KommentaariteemaMrk"/>
    <w:uiPriority w:val="99"/>
    <w:semiHidden/>
    <w:unhideWhenUsed/>
    <w:rsid w:val="00461808"/>
    <w:rPr>
      <w:b/>
      <w:bCs/>
    </w:rPr>
  </w:style>
  <w:style w:type="character" w:customStyle="1" w:styleId="KommentaariteemaMrk">
    <w:name w:val="Kommentaari teema Märk"/>
    <w:basedOn w:val="KommentaaritekstMrk"/>
    <w:link w:val="Kommentaariteema"/>
    <w:uiPriority w:val="99"/>
    <w:semiHidden/>
    <w:rsid w:val="00461808"/>
    <w:rPr>
      <w:b/>
      <w:bCs/>
    </w:rPr>
  </w:style>
  <w:style w:type="paragraph" w:styleId="Jutumullitekst">
    <w:name w:val="Balloon Text"/>
    <w:basedOn w:val="Normaallaad"/>
    <w:link w:val="JutumullitekstMrk"/>
    <w:uiPriority w:val="99"/>
    <w:semiHidden/>
    <w:unhideWhenUsed/>
    <w:rsid w:val="0046180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61808"/>
    <w:rPr>
      <w:rFonts w:ascii="Tahoma" w:hAnsi="Tahoma" w:cs="Tahoma"/>
      <w:sz w:val="16"/>
      <w:szCs w:val="16"/>
    </w:rPr>
  </w:style>
  <w:style w:type="paragraph" w:customStyle="1" w:styleId="Tabelle">
    <w:name w:val="Tabelle"/>
    <w:basedOn w:val="Normaallaad"/>
    <w:qFormat/>
    <w:rsid w:val="00461808"/>
    <w:pPr>
      <w:spacing w:before="20" w:after="20" w:line="240" w:lineRule="auto"/>
      <w:contextualSpacing/>
    </w:pPr>
    <w:rPr>
      <w:rFonts w:ascii="Arial" w:eastAsia="Calibri" w:hAnsi="Arial"/>
      <w:szCs w:val="22"/>
      <w:lang w:val="en-GB"/>
    </w:rPr>
  </w:style>
  <w:style w:type="table" w:customStyle="1" w:styleId="Tablaconcuadrcula1">
    <w:name w:val="Tabla con cuadrícula1"/>
    <w:basedOn w:val="Normaaltabel"/>
    <w:next w:val="Kontuurtabel"/>
    <w:uiPriority w:val="59"/>
    <w:rsid w:val="0046180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ontuurtabel">
    <w:name w:val="Table Grid"/>
    <w:basedOn w:val="Normaaltabel"/>
    <w:uiPriority w:val="39"/>
    <w:rsid w:val="0046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diplaan">
    <w:name w:val="Document Map"/>
    <w:basedOn w:val="Normaallaad"/>
    <w:link w:val="DokumendiplaanMrk"/>
    <w:uiPriority w:val="99"/>
    <w:semiHidden/>
    <w:unhideWhenUsed/>
    <w:rsid w:val="00CE35C7"/>
    <w:pPr>
      <w:spacing w:after="0" w:line="240" w:lineRule="auto"/>
    </w:pPr>
    <w:rPr>
      <w:rFonts w:ascii="Tahoma" w:hAnsi="Tahoma" w:cs="Tahoma"/>
      <w:sz w:val="16"/>
      <w:szCs w:val="16"/>
    </w:rPr>
  </w:style>
  <w:style w:type="character" w:customStyle="1" w:styleId="DokumendiplaanMrk">
    <w:name w:val="Dokumendiplaan Märk"/>
    <w:basedOn w:val="Liguvaikefont"/>
    <w:link w:val="Dokumendiplaan"/>
    <w:uiPriority w:val="99"/>
    <w:semiHidden/>
    <w:rsid w:val="00CE35C7"/>
    <w:rPr>
      <w:rFonts w:ascii="Tahoma" w:hAnsi="Tahoma" w:cs="Tahoma"/>
      <w:sz w:val="16"/>
      <w:szCs w:val="16"/>
    </w:rPr>
  </w:style>
  <w:style w:type="paragraph" w:styleId="Loendilik">
    <w:name w:val="List Paragraph"/>
    <w:basedOn w:val="Normaallaad"/>
    <w:uiPriority w:val="34"/>
    <w:qFormat/>
    <w:rsid w:val="00745D8E"/>
    <w:pPr>
      <w:spacing w:after="0" w:line="240" w:lineRule="auto"/>
      <w:ind w:left="720"/>
      <w:contextualSpacing/>
    </w:pPr>
    <w:rPr>
      <w:rFonts w:ascii="Calibri" w:eastAsia="Times New Roman" w:hAnsi="Calibri"/>
      <w:sz w:val="22"/>
      <w:szCs w:val="22"/>
    </w:rPr>
  </w:style>
  <w:style w:type="character" w:customStyle="1" w:styleId="Pealkiri1Mrk">
    <w:name w:val="Pealkiri 1 Märk"/>
    <w:basedOn w:val="Liguvaikefont"/>
    <w:link w:val="Pealkiri1"/>
    <w:uiPriority w:val="9"/>
    <w:rsid w:val="000B4AA1"/>
    <w:rPr>
      <w:rFonts w:eastAsia="Times New Roman"/>
      <w:b/>
      <w:color w:val="000000"/>
      <w:sz w:val="24"/>
      <w:szCs w:val="22"/>
      <w:lang w:eastAsia="de-DE"/>
    </w:rPr>
  </w:style>
  <w:style w:type="table" w:customStyle="1" w:styleId="TableGrid">
    <w:name w:val="TableGrid"/>
    <w:rsid w:val="000B4AA1"/>
    <w:pPr>
      <w:spacing w:after="0" w:line="240" w:lineRule="auto"/>
    </w:pPr>
    <w:rPr>
      <w:rFonts w:asciiTheme="minorHAnsi" w:eastAsiaTheme="minorEastAsia" w:hAnsiTheme="minorHAnsi" w:cstheme="minorBidi"/>
      <w:sz w:val="22"/>
      <w:szCs w:val="22"/>
      <w:lang w:eastAsia="de-DE"/>
    </w:rPr>
    <w:tblPr>
      <w:tblCellMar>
        <w:top w:w="0" w:type="dxa"/>
        <w:left w:w="0" w:type="dxa"/>
        <w:bottom w:w="0" w:type="dxa"/>
        <w:right w:w="0" w:type="dxa"/>
      </w:tblCellMar>
    </w:tblPr>
  </w:style>
  <w:style w:type="paragraph" w:customStyle="1" w:styleId="Liste1">
    <w:name w:val="Liste 1"/>
    <w:basedOn w:val="Normaallaad"/>
    <w:qFormat/>
    <w:rsid w:val="000B4AA1"/>
    <w:pPr>
      <w:numPr>
        <w:numId w:val="5"/>
      </w:numPr>
      <w:spacing w:after="120" w:line="240" w:lineRule="auto"/>
      <w:contextualSpacing/>
    </w:pPr>
    <w:rPr>
      <w:rFonts w:ascii="Arial" w:eastAsia="Calibri" w:hAnsi="Arial"/>
      <w:noProof/>
      <w:sz w:val="22"/>
      <w:szCs w:val="22"/>
      <w:lang w:val="en-US"/>
    </w:rPr>
  </w:style>
  <w:style w:type="paragraph" w:styleId="Loenditpp">
    <w:name w:val="List Bullet"/>
    <w:basedOn w:val="Normaallaad"/>
    <w:uiPriority w:val="99"/>
    <w:unhideWhenUsed/>
    <w:rsid w:val="000B4AA1"/>
    <w:pPr>
      <w:spacing w:after="260" w:line="240" w:lineRule="auto"/>
      <w:contextualSpacing/>
    </w:pPr>
    <w:rPr>
      <w:noProof/>
      <w:sz w:val="24"/>
      <w:szCs w:val="24"/>
      <w:lang w:val="en-US"/>
    </w:rPr>
  </w:style>
  <w:style w:type="paragraph" w:customStyle="1" w:styleId="GAbullet0cm">
    <w:name w:val="GA_bullet_0cm"/>
    <w:basedOn w:val="Normaallaad"/>
    <w:rsid w:val="007C1AD1"/>
    <w:pPr>
      <w:numPr>
        <w:numId w:val="7"/>
      </w:numPr>
      <w:tabs>
        <w:tab w:val="left" w:pos="397"/>
      </w:tabs>
      <w:spacing w:before="40" w:after="60" w:line="260" w:lineRule="exact"/>
      <w:ind w:left="397" w:hanging="397"/>
    </w:pPr>
    <w:rPr>
      <w:rFonts w:eastAsia="Times New Roman" w:cs="Arial"/>
      <w:sz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6057">
      <w:bodyDiv w:val="1"/>
      <w:marLeft w:val="0"/>
      <w:marRight w:val="0"/>
      <w:marTop w:val="0"/>
      <w:marBottom w:val="0"/>
      <w:divBdr>
        <w:top w:val="none" w:sz="0" w:space="0" w:color="auto"/>
        <w:left w:val="none" w:sz="0" w:space="0" w:color="auto"/>
        <w:bottom w:val="none" w:sz="0" w:space="0" w:color="auto"/>
        <w:right w:val="none" w:sz="0" w:space="0" w:color="auto"/>
      </w:divBdr>
    </w:div>
    <w:div w:id="1002201824">
      <w:bodyDiv w:val="1"/>
      <w:marLeft w:val="0"/>
      <w:marRight w:val="0"/>
      <w:marTop w:val="0"/>
      <w:marBottom w:val="0"/>
      <w:divBdr>
        <w:top w:val="none" w:sz="0" w:space="0" w:color="auto"/>
        <w:left w:val="none" w:sz="0" w:space="0" w:color="auto"/>
        <w:bottom w:val="none" w:sz="0" w:space="0" w:color="auto"/>
        <w:right w:val="none" w:sz="0" w:space="0" w:color="auto"/>
      </w:divBdr>
    </w:div>
    <w:div w:id="1424381393">
      <w:bodyDiv w:val="1"/>
      <w:marLeft w:val="0"/>
      <w:marRight w:val="0"/>
      <w:marTop w:val="0"/>
      <w:marBottom w:val="0"/>
      <w:divBdr>
        <w:top w:val="none" w:sz="0" w:space="0" w:color="auto"/>
        <w:left w:val="none" w:sz="0" w:space="0" w:color="auto"/>
        <w:bottom w:val="none" w:sz="0" w:space="0" w:color="auto"/>
        <w:right w:val="none" w:sz="0" w:space="0" w:color="auto"/>
      </w:divBdr>
    </w:div>
    <w:div w:id="15884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5.png"/><Relationship Id="rId39" Type="http://schemas.openxmlformats.org/officeDocument/2006/relationships/hyperlink" Target="http://www.plantetp.org/research-and-innovation-towards-more-sustainable-and-circular-european-agriculture-exploring" TargetMode="Externa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hyperlink" Target="https://ec.europa.eu/eip/agriculture/en/publications/eip-agri-focus-group-grazing-carbon-final-repor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hyperlink" Target="mailto:katerina.kotzia@ble.de" TargetMode="External"/><Relationship Id="rId40" Type="http://schemas.openxmlformats.org/officeDocument/2006/relationships/hyperlink" Target="https://www.government.nl/ministries/ministry-of-agriculture-nature-and-food-quality/documents/policy-notes/2018/11/19/vision-ministry-of-agriculture-nature-and-food-quality---englis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7.emf"/><Relationship Id="rId36" Type="http://schemas.openxmlformats.org/officeDocument/2006/relationships/hyperlink" Target="mailto:alice.albertini.ext@politicheagricole.it"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0.png"/><Relationship Id="rId44" Type="http://schemas.openxmlformats.org/officeDocument/2006/relationships/hyperlink" Target="https://ec.europa.eu/eip/agriculture/en/publications/eip-agri-workshop-circular-bioeconomy-fin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hyperlink" Target="mailto:livia.ortolani.ext@politicheagricole.it" TargetMode="External"/><Relationship Id="rId43" Type="http://schemas.openxmlformats.org/officeDocument/2006/relationships/hyperlink" Target="https://ec.europa.eu/eip/agriculture/en/publications/eip-agri-focus-group-mixed-farming-systems-fina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4.bin"/><Relationship Id="rId33" Type="http://schemas.openxmlformats.org/officeDocument/2006/relationships/image" Target="media/image22.png"/><Relationship Id="rId38" Type="http://schemas.openxmlformats.org/officeDocument/2006/relationships/hyperlink" Target="http://animaltaskforce.eu/Portals/0/ATF/Downloads/ATF-PlantETP_Policy_brief_April2020.pdf" TargetMode="External"/><Relationship Id="rId46"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hyperlink" Target="https://ec.europa.eu/food/farm2fork_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CEEC-36B8-4C2E-A39D-137E2F79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12917</Characters>
  <Application>Microsoft Office Word</Application>
  <DocSecurity>0</DocSecurity>
  <Lines>107</Lines>
  <Paragraphs>30</Paragraphs>
  <ScaleCrop>false</ScaleCrop>
  <HeadingPairs>
    <vt:vector size="6" baseType="variant">
      <vt:variant>
        <vt:lpstr>Pealkiri</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2021-01-18T08:26:00Z</dcterms:created>
  <dcterms:modified xsi:type="dcterms:W3CDTF">2021-01-18T08:26:00Z</dcterms:modified>
</cp:coreProperties>
</file>