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4C1" w:rsidRPr="003934C1" w:rsidRDefault="003934C1" w:rsidP="003934C1">
      <w:pPr>
        <w:jc w:val="center"/>
        <w:rPr>
          <w:b/>
          <w:sz w:val="24"/>
          <w:szCs w:val="24"/>
        </w:rPr>
      </w:pPr>
      <w:r w:rsidRPr="003934C1">
        <w:rPr>
          <w:b/>
          <w:sz w:val="24"/>
          <w:szCs w:val="24"/>
        </w:rPr>
        <w:t>Eesti-Prantsuse koostööprogramm „G. F. PARROT”</w:t>
      </w:r>
    </w:p>
    <w:p w:rsidR="003934C1" w:rsidRPr="003934C1" w:rsidRDefault="003934C1" w:rsidP="003934C1">
      <w:pPr>
        <w:jc w:val="center"/>
        <w:rPr>
          <w:b/>
          <w:sz w:val="24"/>
          <w:szCs w:val="24"/>
        </w:rPr>
      </w:pPr>
      <w:r w:rsidRPr="003934C1">
        <w:rPr>
          <w:b/>
          <w:sz w:val="24"/>
          <w:szCs w:val="24"/>
        </w:rPr>
        <w:t>Reisigrantide konkurss perioodiks 2021–2022</w:t>
      </w:r>
      <w:bookmarkStart w:id="0" w:name="_GoBack"/>
      <w:bookmarkEnd w:id="0"/>
    </w:p>
    <w:p w:rsidR="003934C1" w:rsidRDefault="003934C1" w:rsidP="003934C1">
      <w:r>
        <w:t xml:space="preserve"> </w:t>
      </w:r>
    </w:p>
    <w:p w:rsidR="003934C1" w:rsidRPr="003934C1" w:rsidRDefault="003934C1" w:rsidP="003934C1">
      <w:pPr>
        <w:rPr>
          <w:b/>
        </w:rPr>
      </w:pPr>
      <w:r w:rsidRPr="003934C1">
        <w:rPr>
          <w:b/>
        </w:rPr>
        <w:t xml:space="preserve">Programmi eesmärgid </w:t>
      </w:r>
    </w:p>
    <w:p w:rsidR="003934C1" w:rsidRDefault="003934C1" w:rsidP="003934C1">
      <w:pPr>
        <w:jc w:val="both"/>
      </w:pPr>
      <w:r>
        <w:t xml:space="preserve">Programmi eesmärk on arendada kõrgetasemelist teadus- ja tehnoloogiaalast koostööd kahe riigi uurimisgruppide vahel ning toetada eelkõige uusi koostööprojekte. Programm hõlmab kõiki alus- ja rakendusteaduste valdkondi, sealhulgas humanitaar- ja sotsiaalteadusi. Alates esimesest konkursist on doktorantide ning noorteadlaste kaasamine projektides programmi jaoks prioriteetne. Pingereas võrdsel positsioonil olevate taotluste korral eelistatakse esmataotlejaid. </w:t>
      </w:r>
    </w:p>
    <w:p w:rsidR="003934C1" w:rsidRPr="003934C1" w:rsidRDefault="003934C1" w:rsidP="003934C1">
      <w:pPr>
        <w:jc w:val="both"/>
        <w:rPr>
          <w:b/>
        </w:rPr>
      </w:pPr>
      <w:r w:rsidRPr="003934C1">
        <w:rPr>
          <w:b/>
        </w:rPr>
        <w:t xml:space="preserve">Taotlemise tingimused </w:t>
      </w:r>
    </w:p>
    <w:p w:rsidR="003934C1" w:rsidRDefault="003934C1" w:rsidP="003934C1">
      <w:pPr>
        <w:jc w:val="both"/>
      </w:pPr>
      <w:r>
        <w:t xml:space="preserve">Projektide konkurss kuulutatakse välja iga kahe aasta tagant. Programmi raames läbiviidaval avalikul konkursil võivad projektitaotlusi esitada kõik uurimisgrupid, mis kuuluvad kõrgkoolide, teadusasutuste või ettevõtete koosseisu. Eelmise, 2018. aasta, konkursi raames rahalist toetust saanud uurimisgrupid taotlust esitada ei saa. </w:t>
      </w:r>
    </w:p>
    <w:p w:rsidR="003934C1" w:rsidRPr="003934C1" w:rsidRDefault="003934C1" w:rsidP="003934C1">
      <w:pPr>
        <w:jc w:val="both"/>
        <w:rPr>
          <w:b/>
        </w:rPr>
      </w:pPr>
      <w:r>
        <w:t xml:space="preserve">NB! Koostööpartneritel tuleb esitada identne ingliskeelne </w:t>
      </w:r>
      <w:proofErr w:type="spellStart"/>
      <w:r>
        <w:t>ühistaotlus</w:t>
      </w:r>
      <w:proofErr w:type="spellEnd"/>
      <w:r>
        <w:t xml:space="preserve"> mõlema riigi vastutavale ametkonnale. </w:t>
      </w:r>
    </w:p>
    <w:p w:rsidR="00D6013C" w:rsidRDefault="003934C1" w:rsidP="003934C1">
      <w:pPr>
        <w:jc w:val="both"/>
        <w:rPr>
          <w:b/>
        </w:rPr>
      </w:pPr>
      <w:r w:rsidRPr="003934C1">
        <w:rPr>
          <w:b/>
        </w:rPr>
        <w:t xml:space="preserve">Taotluste hindamine ja projektide valik </w:t>
      </w:r>
    </w:p>
    <w:p w:rsidR="00D6013C" w:rsidRPr="00D6013C" w:rsidRDefault="00D6013C" w:rsidP="003934C1">
      <w:pPr>
        <w:jc w:val="both"/>
      </w:pPr>
      <w:r w:rsidRPr="00D6013C">
        <w:t>Hindamiskriteeriumid:</w:t>
      </w:r>
    </w:p>
    <w:p w:rsidR="00D6013C" w:rsidRPr="00D6013C" w:rsidRDefault="00D6013C" w:rsidP="00D6013C">
      <w:pPr>
        <w:pStyle w:val="Loendilik"/>
        <w:numPr>
          <w:ilvl w:val="0"/>
          <w:numId w:val="4"/>
        </w:numPr>
        <w:spacing w:after="0" w:line="240" w:lineRule="auto"/>
        <w:textAlignment w:val="baseline"/>
        <w:rPr>
          <w:rFonts w:eastAsia="Times New Roman" w:cstheme="minorHAnsi"/>
          <w:color w:val="444444"/>
          <w:lang w:eastAsia="et-EE"/>
        </w:rPr>
      </w:pPr>
      <w:r w:rsidRPr="00D6013C">
        <w:rPr>
          <w:rFonts w:eastAsia="Times New Roman" w:cstheme="minorHAnsi"/>
          <w:color w:val="444444"/>
          <w:bdr w:val="none" w:sz="0" w:space="0" w:color="auto" w:frame="1"/>
          <w:lang w:eastAsia="et-EE"/>
        </w:rPr>
        <w:t>Projekti ja meeskondade teaduslik kvaliteet</w:t>
      </w:r>
    </w:p>
    <w:p w:rsidR="00D6013C" w:rsidRPr="00D6013C" w:rsidRDefault="00D6013C" w:rsidP="00D6013C">
      <w:pPr>
        <w:pStyle w:val="Loendilik"/>
        <w:numPr>
          <w:ilvl w:val="0"/>
          <w:numId w:val="4"/>
        </w:numPr>
        <w:spacing w:after="0" w:line="240" w:lineRule="auto"/>
        <w:textAlignment w:val="baseline"/>
        <w:rPr>
          <w:rFonts w:eastAsia="Times New Roman" w:cstheme="minorHAnsi"/>
          <w:color w:val="444444"/>
          <w:lang w:eastAsia="et-EE"/>
        </w:rPr>
      </w:pPr>
      <w:r w:rsidRPr="00D6013C">
        <w:rPr>
          <w:rFonts w:eastAsia="Times New Roman" w:cstheme="minorHAnsi"/>
          <w:color w:val="444444"/>
          <w:bdr w:val="none" w:sz="0" w:space="0" w:color="auto" w:frame="1"/>
          <w:lang w:eastAsia="et-EE"/>
        </w:rPr>
        <w:t>Noorteadlaste, eelkõige doktorantide või postdoktorantide</w:t>
      </w:r>
      <w:r w:rsidR="00AB4B6B">
        <w:rPr>
          <w:rFonts w:eastAsia="Times New Roman" w:cstheme="minorHAnsi"/>
          <w:color w:val="444444"/>
          <w:bdr w:val="none" w:sz="0" w:space="0" w:color="auto" w:frame="1"/>
          <w:lang w:eastAsia="et-EE"/>
        </w:rPr>
        <w:t xml:space="preserve"> </w:t>
      </w:r>
      <w:r w:rsidRPr="00D6013C">
        <w:rPr>
          <w:rFonts w:eastAsia="Times New Roman" w:cstheme="minorHAnsi"/>
          <w:color w:val="444444"/>
          <w:bdr w:val="none" w:sz="0" w:space="0" w:color="auto" w:frame="1"/>
          <w:lang w:eastAsia="et-EE"/>
        </w:rPr>
        <w:t>aktiivne osalemine</w:t>
      </w:r>
    </w:p>
    <w:p w:rsidR="00D6013C" w:rsidRPr="00D6013C" w:rsidRDefault="00D6013C" w:rsidP="00D6013C">
      <w:pPr>
        <w:pStyle w:val="Loendilik"/>
        <w:numPr>
          <w:ilvl w:val="0"/>
          <w:numId w:val="4"/>
        </w:numPr>
        <w:spacing w:after="0" w:line="240" w:lineRule="auto"/>
        <w:textAlignment w:val="baseline"/>
        <w:rPr>
          <w:rFonts w:eastAsia="Times New Roman" w:cstheme="minorHAnsi"/>
          <w:color w:val="444444"/>
          <w:lang w:eastAsia="et-EE"/>
        </w:rPr>
      </w:pPr>
      <w:r w:rsidRPr="00D6013C">
        <w:rPr>
          <w:rFonts w:eastAsia="Times New Roman" w:cstheme="minorHAnsi"/>
          <w:color w:val="444444"/>
          <w:bdr w:val="none" w:sz="0" w:space="0" w:color="auto" w:frame="1"/>
          <w:lang w:eastAsia="et-EE"/>
        </w:rPr>
        <w:t>Koostöö</w:t>
      </w:r>
      <w:r w:rsidR="003955AB">
        <w:rPr>
          <w:rFonts w:eastAsia="Times New Roman" w:cstheme="minorHAnsi"/>
          <w:color w:val="444444"/>
          <w:bdr w:val="none" w:sz="0" w:space="0" w:color="auto" w:frame="1"/>
          <w:lang w:eastAsia="et-EE"/>
        </w:rPr>
        <w:t xml:space="preserve"> kasutegur </w:t>
      </w:r>
      <w:r w:rsidRPr="00D6013C">
        <w:rPr>
          <w:rFonts w:eastAsia="Times New Roman" w:cstheme="minorHAnsi"/>
          <w:color w:val="444444"/>
          <w:bdr w:val="none" w:sz="0" w:space="0" w:color="auto" w:frame="1"/>
          <w:lang w:eastAsia="et-EE"/>
        </w:rPr>
        <w:t xml:space="preserve">ning </w:t>
      </w:r>
      <w:r w:rsidR="00AB4B6B">
        <w:rPr>
          <w:rFonts w:eastAsia="Times New Roman" w:cstheme="minorHAnsi"/>
          <w:color w:val="444444"/>
          <w:bdr w:val="none" w:sz="0" w:space="0" w:color="auto" w:frame="1"/>
          <w:lang w:eastAsia="et-EE"/>
        </w:rPr>
        <w:t xml:space="preserve">mõlema riigi </w:t>
      </w:r>
      <w:r w:rsidR="005E54E3">
        <w:rPr>
          <w:rFonts w:eastAsia="Times New Roman" w:cstheme="minorHAnsi"/>
          <w:color w:val="444444"/>
          <w:bdr w:val="none" w:sz="0" w:space="0" w:color="auto" w:frame="1"/>
          <w:lang w:eastAsia="et-EE"/>
        </w:rPr>
        <w:t>uurimisgruppide</w:t>
      </w:r>
      <w:r w:rsidRPr="00D6013C">
        <w:rPr>
          <w:rFonts w:eastAsia="Times New Roman" w:cstheme="minorHAnsi"/>
          <w:color w:val="444444"/>
          <w:bdr w:val="none" w:sz="0" w:space="0" w:color="auto" w:frame="1"/>
          <w:lang w:eastAsia="et-EE"/>
        </w:rPr>
        <w:t xml:space="preserve"> omavaheline täiendamine</w:t>
      </w:r>
    </w:p>
    <w:p w:rsidR="00D6013C" w:rsidRPr="00D6013C" w:rsidRDefault="00AB4B6B" w:rsidP="00D6013C">
      <w:pPr>
        <w:pStyle w:val="Loendilik"/>
        <w:numPr>
          <w:ilvl w:val="0"/>
          <w:numId w:val="4"/>
        </w:numPr>
        <w:spacing w:after="0" w:line="240" w:lineRule="auto"/>
        <w:textAlignment w:val="baseline"/>
        <w:rPr>
          <w:rFonts w:eastAsia="Times New Roman" w:cstheme="minorHAnsi"/>
          <w:color w:val="444444"/>
          <w:lang w:eastAsia="et-EE"/>
        </w:rPr>
      </w:pPr>
      <w:r>
        <w:rPr>
          <w:rFonts w:eastAsia="Times New Roman" w:cstheme="minorHAnsi"/>
          <w:color w:val="444444"/>
          <w:bdr w:val="none" w:sz="0" w:space="0" w:color="auto" w:frame="1"/>
          <w:lang w:eastAsia="et-EE"/>
        </w:rPr>
        <w:t>Projekti st</w:t>
      </w:r>
      <w:r w:rsidR="00D6013C" w:rsidRPr="00D6013C">
        <w:rPr>
          <w:rFonts w:eastAsia="Times New Roman" w:cstheme="minorHAnsi"/>
          <w:color w:val="444444"/>
          <w:bdr w:val="none" w:sz="0" w:space="0" w:color="auto" w:frame="1"/>
          <w:lang w:eastAsia="et-EE"/>
        </w:rPr>
        <w:t xml:space="preserve">ruktureerimise või </w:t>
      </w:r>
      <w:r>
        <w:rPr>
          <w:rFonts w:eastAsia="Times New Roman" w:cstheme="minorHAnsi"/>
          <w:color w:val="444444"/>
          <w:bdr w:val="none" w:sz="0" w:space="0" w:color="auto" w:frame="1"/>
          <w:lang w:eastAsia="et-EE"/>
        </w:rPr>
        <w:t xml:space="preserve">täiustamise </w:t>
      </w:r>
      <w:r w:rsidR="00D6013C" w:rsidRPr="00D6013C">
        <w:rPr>
          <w:rFonts w:eastAsia="Times New Roman" w:cstheme="minorHAnsi"/>
          <w:color w:val="444444"/>
          <w:bdr w:val="none" w:sz="0" w:space="0" w:color="auto" w:frame="1"/>
          <w:lang w:eastAsia="et-EE"/>
        </w:rPr>
        <w:t>vä</w:t>
      </w:r>
      <w:r w:rsidR="00D910A8">
        <w:rPr>
          <w:rFonts w:eastAsia="Times New Roman" w:cstheme="minorHAnsi"/>
          <w:color w:val="444444"/>
          <w:bdr w:val="none" w:sz="0" w:space="0" w:color="auto" w:frame="1"/>
          <w:lang w:eastAsia="et-EE"/>
        </w:rPr>
        <w:t>ljavaated</w:t>
      </w:r>
      <w:r w:rsidR="00D6013C" w:rsidRPr="00D6013C">
        <w:rPr>
          <w:rFonts w:eastAsia="Times New Roman" w:cstheme="minorHAnsi"/>
          <w:color w:val="444444"/>
          <w:bdr w:val="none" w:sz="0" w:space="0" w:color="auto" w:frame="1"/>
          <w:lang w:eastAsia="et-EE"/>
        </w:rPr>
        <w:t xml:space="preserve">. Euroopa </w:t>
      </w:r>
      <w:r w:rsidR="00D910A8">
        <w:rPr>
          <w:rFonts w:eastAsia="Times New Roman" w:cstheme="minorHAnsi"/>
          <w:color w:val="444444"/>
          <w:bdr w:val="none" w:sz="0" w:space="0" w:color="auto" w:frame="1"/>
          <w:lang w:eastAsia="et-EE"/>
        </w:rPr>
        <w:t xml:space="preserve">tasandil </w:t>
      </w:r>
      <w:r w:rsidR="00D6013C" w:rsidRPr="00D6013C">
        <w:rPr>
          <w:rFonts w:eastAsia="Times New Roman" w:cstheme="minorHAnsi"/>
          <w:color w:val="444444"/>
          <w:bdr w:val="none" w:sz="0" w:space="0" w:color="auto" w:frame="1"/>
          <w:lang w:eastAsia="et-EE"/>
        </w:rPr>
        <w:t xml:space="preserve">väljundiga </w:t>
      </w:r>
      <w:r w:rsidR="00D910A8">
        <w:rPr>
          <w:rFonts w:eastAsia="Times New Roman" w:cstheme="minorHAnsi"/>
          <w:color w:val="444444"/>
          <w:bdr w:val="none" w:sz="0" w:space="0" w:color="auto" w:frame="1"/>
          <w:lang w:eastAsia="et-EE"/>
        </w:rPr>
        <w:t>koostöö</w:t>
      </w:r>
      <w:r w:rsidR="00D6013C" w:rsidRPr="00D6013C">
        <w:rPr>
          <w:rFonts w:eastAsia="Times New Roman" w:cstheme="minorHAnsi"/>
          <w:color w:val="444444"/>
          <w:bdr w:val="none" w:sz="0" w:space="0" w:color="auto" w:frame="1"/>
          <w:lang w:eastAsia="et-EE"/>
        </w:rPr>
        <w:t>projekte käsitletakse prioriteetsetena. Teadlastel on n</w:t>
      </w:r>
      <w:r>
        <w:rPr>
          <w:rFonts w:eastAsia="Times New Roman" w:cstheme="minorHAnsi"/>
          <w:color w:val="444444"/>
          <w:bdr w:val="none" w:sz="0" w:space="0" w:color="auto" w:frame="1"/>
          <w:lang w:eastAsia="et-EE"/>
        </w:rPr>
        <w:t>ii</w:t>
      </w:r>
      <w:r w:rsidR="00D6013C" w:rsidRPr="00D6013C">
        <w:rPr>
          <w:rFonts w:eastAsia="Times New Roman" w:cstheme="minorHAnsi"/>
          <w:color w:val="444444"/>
          <w:bdr w:val="none" w:sz="0" w:space="0" w:color="auto" w:frame="1"/>
          <w:lang w:eastAsia="et-EE"/>
        </w:rPr>
        <w:t xml:space="preserve"> võimalus kandideerida teise</w:t>
      </w:r>
      <w:r>
        <w:rPr>
          <w:rFonts w:eastAsia="Times New Roman" w:cstheme="minorHAnsi"/>
          <w:color w:val="444444"/>
          <w:bdr w:val="none" w:sz="0" w:space="0" w:color="auto" w:frame="1"/>
          <w:lang w:eastAsia="et-EE"/>
        </w:rPr>
        <w:t>le Parrot’ grandile</w:t>
      </w:r>
      <w:r w:rsidR="00D6013C" w:rsidRPr="00D6013C">
        <w:rPr>
          <w:rFonts w:eastAsia="Times New Roman" w:cstheme="minorHAnsi"/>
          <w:color w:val="444444"/>
          <w:bdr w:val="none" w:sz="0" w:space="0" w:color="auto" w:frame="1"/>
          <w:lang w:eastAsia="et-EE"/>
        </w:rPr>
        <w:t xml:space="preserve"> sama uuringuteema raames.</w:t>
      </w:r>
    </w:p>
    <w:p w:rsidR="00D6013C" w:rsidRPr="003934C1" w:rsidRDefault="00D6013C" w:rsidP="003934C1">
      <w:pPr>
        <w:jc w:val="both"/>
        <w:rPr>
          <w:b/>
        </w:rPr>
      </w:pPr>
    </w:p>
    <w:p w:rsidR="003934C1" w:rsidRDefault="003934C1" w:rsidP="003934C1">
      <w:pPr>
        <w:jc w:val="both"/>
      </w:pPr>
      <w:r>
        <w:t xml:space="preserve">Tingimustele vastavaid taotlusi hindavad nii Eesti kui Prantsuse ekspertkomisjonid. Ühisprojektide lõpliku rahastamise otsustab Eesti-Prantsuse ühiskomisjon. Pingereas võrdsel positsioonil olevate taotluste korral eelistatakse esmataotlejaid. </w:t>
      </w:r>
    </w:p>
    <w:p w:rsidR="003934C1" w:rsidRPr="003934C1" w:rsidRDefault="003934C1" w:rsidP="003934C1">
      <w:pPr>
        <w:jc w:val="both"/>
        <w:rPr>
          <w:b/>
        </w:rPr>
      </w:pPr>
      <w:r w:rsidRPr="003934C1">
        <w:rPr>
          <w:b/>
        </w:rPr>
        <w:t xml:space="preserve">Projektide kestus ja </w:t>
      </w:r>
      <w:r w:rsidR="00AC226E">
        <w:rPr>
          <w:b/>
        </w:rPr>
        <w:t>aruandlus</w:t>
      </w:r>
    </w:p>
    <w:p w:rsidR="003934C1" w:rsidRDefault="003934C1" w:rsidP="003934C1">
      <w:pPr>
        <w:jc w:val="both"/>
      </w:pPr>
      <w:r>
        <w:t xml:space="preserve">Hindamisel välja valitud ühisprojektide kestvuseks on kaks aastat. Rahalist toetust antakse ühe aasta kaupa, kummalgi aastal võrdses summas. </w:t>
      </w:r>
    </w:p>
    <w:p w:rsidR="003934C1" w:rsidRDefault="003934C1" w:rsidP="003934C1">
      <w:pPr>
        <w:jc w:val="both"/>
      </w:pPr>
      <w:r>
        <w:t xml:space="preserve">Üheks aastaks eraldatud raha on kasutamiseks ajavahemikus 1. jaanuar kuni 31. detsember. Esimesel aastal kasutamata jääk ei kandu üle teise aastasse. </w:t>
      </w:r>
    </w:p>
    <w:p w:rsidR="00607851" w:rsidRDefault="00607851" w:rsidP="003934C1">
      <w:pPr>
        <w:jc w:val="both"/>
      </w:pPr>
      <w:r>
        <w:t xml:space="preserve">Vahearuanne (1 lk vabas vormis) tuleb esitada </w:t>
      </w:r>
      <w:r w:rsidR="00C80FC9">
        <w:t xml:space="preserve">mõlemale riigile </w:t>
      </w:r>
      <w:r>
        <w:t xml:space="preserve">esimesel aastal enne 15. novembrit. Projekti lõpparuanne tuleb esitada hiljemalt kolm kuud pärast projekti lõppu. </w:t>
      </w:r>
      <w:r w:rsidR="003934C1">
        <w:t xml:space="preserve">Rahastavad partnerid jätavad endale õiguse otsustada esimesel aastal mittekäivitunud või tööplaani osaliselt täitnud ühisprojekti teise aasta rahastamist. </w:t>
      </w:r>
    </w:p>
    <w:p w:rsidR="00AF1738" w:rsidRDefault="00AF1738" w:rsidP="003934C1">
      <w:pPr>
        <w:jc w:val="both"/>
      </w:pPr>
      <w:r w:rsidRPr="00932B52">
        <w:lastRenderedPageBreak/>
        <w:t xml:space="preserve">Erilist tähelepanu pööratakse selle projekti raames kirjutatud teaduslikele kaaspublikatsioonidele, kus tuleb mainida </w:t>
      </w:r>
      <w:r w:rsidR="009F5328">
        <w:t>Prants</w:t>
      </w:r>
      <w:r w:rsidR="0005025D">
        <w:t xml:space="preserve">use </w:t>
      </w:r>
      <w:proofErr w:type="spellStart"/>
      <w:r w:rsidR="0005025D">
        <w:t>Välis</w:t>
      </w:r>
      <w:proofErr w:type="spellEnd"/>
      <w:r w:rsidR="0005025D">
        <w:t>- ja Euroopa Asjade Ministeeriumi</w:t>
      </w:r>
      <w:r w:rsidR="009F5328">
        <w:t xml:space="preserve"> </w:t>
      </w:r>
      <w:r w:rsidRPr="00932B52">
        <w:t xml:space="preserve">(MEAE) ning </w:t>
      </w:r>
      <w:r w:rsidR="009F5328">
        <w:t>Haridus</w:t>
      </w:r>
      <w:r w:rsidR="0005025D">
        <w:t>-</w:t>
      </w:r>
      <w:r w:rsidR="009F5328">
        <w:t xml:space="preserve">, </w:t>
      </w:r>
      <w:r w:rsidR="0005025D">
        <w:t>K</w:t>
      </w:r>
      <w:r w:rsidR="009F5328">
        <w:t>õrgharidus</w:t>
      </w:r>
      <w:r w:rsidR="0005025D">
        <w:t>-</w:t>
      </w:r>
      <w:r w:rsidR="009F5328">
        <w:t xml:space="preserve"> ja </w:t>
      </w:r>
      <w:r w:rsidR="0005025D">
        <w:t>T</w:t>
      </w:r>
      <w:r w:rsidR="009F5328">
        <w:t xml:space="preserve">eadusministeeriumi </w:t>
      </w:r>
      <w:r w:rsidRPr="00932B52">
        <w:t>(MESRI) antud toetust.</w:t>
      </w:r>
    </w:p>
    <w:p w:rsidR="003934C1" w:rsidRPr="003934C1" w:rsidRDefault="003934C1" w:rsidP="003934C1">
      <w:pPr>
        <w:jc w:val="both"/>
        <w:rPr>
          <w:b/>
        </w:rPr>
      </w:pPr>
      <w:r w:rsidRPr="003934C1">
        <w:rPr>
          <w:b/>
        </w:rPr>
        <w:t xml:space="preserve">Rahastamine </w:t>
      </w:r>
    </w:p>
    <w:p w:rsidR="003934C1" w:rsidRDefault="003934C1" w:rsidP="003934C1">
      <w:pPr>
        <w:jc w:val="both"/>
      </w:pPr>
      <w:r>
        <w:t xml:space="preserve">Rahastamine hõlmab ainult ühisprojektide raames uurimistööga tegelevate inimeste reisikulude hüvitamist. Igasugune muu rahastus, mis on vajalik uurimistöö läbiviimiseks, peab olema kaetud partnerasutuste omavahenditest või tulema teistest rahastamisallikatest. </w:t>
      </w:r>
    </w:p>
    <w:p w:rsidR="003934C1" w:rsidRDefault="003934C1" w:rsidP="003934C1">
      <w:pPr>
        <w:jc w:val="both"/>
      </w:pPr>
      <w:r w:rsidRPr="003934C1">
        <w:rPr>
          <w:b/>
        </w:rPr>
        <w:t>Prantsusmaa poolne rahastus</w:t>
      </w:r>
      <w:r>
        <w:t xml:space="preserve"> katab Prantsuse teadustöötajate sõidukulud ja Eesti teadustöötajate päevarahad Prantsusmaal viibimise ajal:   </w:t>
      </w:r>
    </w:p>
    <w:p w:rsidR="00AC5D04" w:rsidRDefault="003934C1" w:rsidP="003934C1">
      <w:pPr>
        <w:pStyle w:val="Loendilik"/>
        <w:numPr>
          <w:ilvl w:val="0"/>
          <w:numId w:val="1"/>
        </w:numPr>
        <w:jc w:val="both"/>
      </w:pPr>
      <w:r>
        <w:t xml:space="preserve">sõidukulud: sõit Eestisse ja tagasi tegelike kulutuste alusel 450 EUR ulatuses ning tervisekindlustus Eestis viibimise ajaks; </w:t>
      </w:r>
    </w:p>
    <w:p w:rsidR="003934C1" w:rsidRDefault="003934C1" w:rsidP="003934C1">
      <w:pPr>
        <w:pStyle w:val="Loendilik"/>
        <w:numPr>
          <w:ilvl w:val="0"/>
          <w:numId w:val="1"/>
        </w:numPr>
        <w:jc w:val="both"/>
      </w:pPr>
      <w:r>
        <w:t>päevaraha: 110 EUR/päev (mis on ette nähtud majutuseks ja elamiskuludeks).</w:t>
      </w:r>
    </w:p>
    <w:p w:rsidR="003934C1" w:rsidRDefault="003934C1" w:rsidP="003934C1">
      <w:pPr>
        <w:jc w:val="both"/>
      </w:pPr>
      <w:r w:rsidRPr="003934C1">
        <w:rPr>
          <w:b/>
        </w:rPr>
        <w:t>Eestipoolne rahastus</w:t>
      </w:r>
      <w:r>
        <w:t xml:space="preserve"> katab Eesti teadustöötajate sõidukulud ja Prantsuse teadustöötajate päevarahad Eestis viibimise ajal:  </w:t>
      </w:r>
    </w:p>
    <w:p w:rsidR="003934C1" w:rsidRDefault="003934C1" w:rsidP="003934C1">
      <w:pPr>
        <w:pStyle w:val="Loendilik"/>
        <w:numPr>
          <w:ilvl w:val="0"/>
          <w:numId w:val="1"/>
        </w:numPr>
        <w:jc w:val="both"/>
      </w:pPr>
      <w:r>
        <w:t xml:space="preserve">sõidukulud: sõit Prantsusmaale ja tagasi tegelike kulutuste alusel ning tervisekindlustus Prantsusmaal viibimise ajaks 500 EUR ulatuses; </w:t>
      </w:r>
    </w:p>
    <w:p w:rsidR="003934C1" w:rsidRDefault="003934C1" w:rsidP="003934C1">
      <w:pPr>
        <w:pStyle w:val="Loendilik"/>
        <w:numPr>
          <w:ilvl w:val="0"/>
          <w:numId w:val="1"/>
        </w:numPr>
        <w:jc w:val="both"/>
      </w:pPr>
      <w:r>
        <w:t xml:space="preserve">päevaraha: 100 EUR/päev (mis on ette nähtud majutuseks ja elamiskuludeks). ETAgi eelarve on u 25000 eurot aastas, millest planeeritakse rahastada 6-8 projekti. </w:t>
      </w:r>
    </w:p>
    <w:p w:rsidR="00D166F5" w:rsidRDefault="00D656C3" w:rsidP="00D166F5">
      <w:pPr>
        <w:jc w:val="both"/>
      </w:pPr>
      <w:r>
        <w:t xml:space="preserve">2020. aastal eraldati ühele ühisprojektile </w:t>
      </w:r>
      <w:r w:rsidR="00766FBB">
        <w:t xml:space="preserve">keskmiselt </w:t>
      </w:r>
      <w:r>
        <w:t>2660 eurot.</w:t>
      </w:r>
    </w:p>
    <w:p w:rsidR="00FD3A41" w:rsidRDefault="00FD3A41" w:rsidP="00D166F5">
      <w:pPr>
        <w:jc w:val="both"/>
        <w:rPr>
          <w:b/>
        </w:rPr>
      </w:pPr>
      <w:r w:rsidRPr="00932B52">
        <w:rPr>
          <w:b/>
        </w:rPr>
        <w:t>Intellektuaal</w:t>
      </w:r>
      <w:r w:rsidR="00EB464C">
        <w:rPr>
          <w:b/>
        </w:rPr>
        <w:t xml:space="preserve">ne </w:t>
      </w:r>
      <w:r w:rsidRPr="00932B52">
        <w:rPr>
          <w:b/>
        </w:rPr>
        <w:t>omand</w:t>
      </w:r>
    </w:p>
    <w:p w:rsidR="00932B52" w:rsidRPr="0071627F" w:rsidRDefault="007505D1" w:rsidP="00D166F5">
      <w:pPr>
        <w:jc w:val="both"/>
      </w:pPr>
      <w:r w:rsidRPr="0071627F">
        <w:t>Projekti</w:t>
      </w:r>
      <w:r w:rsidR="009B69C6">
        <w:t xml:space="preserve"> eest vastutavate isikute </w:t>
      </w:r>
      <w:r w:rsidRPr="0071627F">
        <w:t>kohustuseks on intellektuaal</w:t>
      </w:r>
      <w:r w:rsidR="00EB464C">
        <w:t xml:space="preserve">se </w:t>
      </w:r>
      <w:r w:rsidRPr="0071627F">
        <w:t xml:space="preserve">omandi kaitsmisel rakendada kõiki vajalikke meetmeid. </w:t>
      </w:r>
      <w:r w:rsidR="0071627F" w:rsidRPr="0071627F">
        <w:t xml:space="preserve">Lugege hoolikalt </w:t>
      </w:r>
      <w:r w:rsidR="003A2B8B">
        <w:t xml:space="preserve">eraldi </w:t>
      </w:r>
      <w:r w:rsidR="0071627F" w:rsidRPr="0071627F">
        <w:t>dokumenti heade tavade kohta, sealhulgas intellektuaal</w:t>
      </w:r>
      <w:r w:rsidR="00EB464C">
        <w:t xml:space="preserve">se </w:t>
      </w:r>
      <w:r w:rsidR="0071627F" w:rsidRPr="0071627F">
        <w:t>omandi reegleid</w:t>
      </w:r>
      <w:r w:rsidR="003A2B8B">
        <w:t xml:space="preserve"> (reeglid on prantsuse ja inglise keeles)</w:t>
      </w:r>
      <w:r w:rsidR="0071627F" w:rsidRPr="0071627F">
        <w:t>. Projekti esitamine hõlmab seda, et kõik osapooled järgivad neid reegleid.</w:t>
      </w:r>
    </w:p>
    <w:p w:rsidR="003934C1" w:rsidRPr="003934C1" w:rsidRDefault="003934C1" w:rsidP="003934C1">
      <w:pPr>
        <w:jc w:val="both"/>
        <w:rPr>
          <w:b/>
        </w:rPr>
      </w:pPr>
      <w:r w:rsidRPr="003934C1">
        <w:rPr>
          <w:b/>
        </w:rPr>
        <w:t xml:space="preserve">Tähtajad ning ajagraafik </w:t>
      </w:r>
    </w:p>
    <w:p w:rsidR="003934C1" w:rsidRDefault="003934C1" w:rsidP="003934C1">
      <w:pPr>
        <w:pStyle w:val="Loendilik"/>
        <w:numPr>
          <w:ilvl w:val="0"/>
          <w:numId w:val="2"/>
        </w:numPr>
        <w:jc w:val="both"/>
      </w:pPr>
      <w:r>
        <w:t>Dokumentide ühise esitamise tähtaeg: 0</w:t>
      </w:r>
      <w:r w:rsidR="0065356D">
        <w:t>2</w:t>
      </w:r>
      <w:r>
        <w:t>. juuni 20</w:t>
      </w:r>
      <w:r w:rsidR="0065356D">
        <w:t>20</w:t>
      </w:r>
    </w:p>
    <w:p w:rsidR="003934C1" w:rsidRDefault="003934C1" w:rsidP="003934C1">
      <w:pPr>
        <w:pStyle w:val="Loendilik"/>
        <w:numPr>
          <w:ilvl w:val="0"/>
          <w:numId w:val="2"/>
        </w:numPr>
        <w:jc w:val="both"/>
      </w:pPr>
      <w:r>
        <w:t>Tulemuste teatavaks tegemine: detsember 20</w:t>
      </w:r>
      <w:r w:rsidR="005862FF">
        <w:t>20</w:t>
      </w:r>
      <w:r>
        <w:t xml:space="preserve"> </w:t>
      </w:r>
    </w:p>
    <w:p w:rsidR="003934C1" w:rsidRDefault="003934C1" w:rsidP="003934C1">
      <w:pPr>
        <w:pStyle w:val="Loendilik"/>
        <w:numPr>
          <w:ilvl w:val="0"/>
          <w:numId w:val="2"/>
        </w:numPr>
        <w:jc w:val="both"/>
      </w:pPr>
      <w:r>
        <w:t>Projektide algus: jaanuar 20</w:t>
      </w:r>
      <w:r w:rsidR="005862FF">
        <w:t>21</w:t>
      </w:r>
      <w:r>
        <w:t xml:space="preserve"> </w:t>
      </w:r>
    </w:p>
    <w:p w:rsidR="003934C1" w:rsidRPr="003934C1" w:rsidRDefault="003934C1" w:rsidP="003934C1">
      <w:pPr>
        <w:jc w:val="both"/>
        <w:rPr>
          <w:b/>
        </w:rPr>
      </w:pPr>
      <w:r w:rsidRPr="003934C1">
        <w:rPr>
          <w:b/>
        </w:rPr>
        <w:t xml:space="preserve">Taotluste esitamine </w:t>
      </w:r>
    </w:p>
    <w:p w:rsidR="003934C1" w:rsidRDefault="003934C1" w:rsidP="003934C1">
      <w:pPr>
        <w:jc w:val="both"/>
      </w:pPr>
      <w:r>
        <w:t xml:space="preserve">Eesti taotleja peab saatma elektrooniliselt allkirjastatud taotluse e-posti aadressil maarja.soonberg@etag.ee. </w:t>
      </w:r>
    </w:p>
    <w:p w:rsidR="003934C1" w:rsidRDefault="003934C1" w:rsidP="003934C1">
      <w:pPr>
        <w:jc w:val="both"/>
      </w:pPr>
      <w:r>
        <w:t xml:space="preserve">Taotluse vorm on kättesaadav Eesti Teadusagentuuri kodulehel </w:t>
      </w:r>
      <w:hyperlink r:id="rId5" w:history="1">
        <w:r w:rsidRPr="00D51220">
          <w:rPr>
            <w:rStyle w:val="Hperlink"/>
          </w:rPr>
          <w:t>www.etag.ee</w:t>
        </w:r>
      </w:hyperlink>
      <w:r>
        <w:t xml:space="preserve">. </w:t>
      </w:r>
    </w:p>
    <w:p w:rsidR="003934C1" w:rsidRDefault="003934C1" w:rsidP="003934C1">
      <w:pPr>
        <w:jc w:val="both"/>
      </w:pPr>
      <w:r w:rsidRPr="003934C1">
        <w:rPr>
          <w:b/>
        </w:rPr>
        <w:t>Kontaktisikud Eestis</w:t>
      </w:r>
      <w:r>
        <w:t xml:space="preserve">: </w:t>
      </w:r>
    </w:p>
    <w:p w:rsidR="009046C2" w:rsidRPr="00441E6D" w:rsidRDefault="009046C2" w:rsidP="00043355">
      <w:pPr>
        <w:spacing w:after="0" w:line="240" w:lineRule="auto"/>
        <w:jc w:val="both"/>
        <w:rPr>
          <w:u w:val="single"/>
        </w:rPr>
      </w:pPr>
      <w:bookmarkStart w:id="1" w:name="_Hlk35874061"/>
      <w:r w:rsidRPr="00441E6D">
        <w:rPr>
          <w:u w:val="single"/>
        </w:rPr>
        <w:t>Théodore</w:t>
      </w:r>
      <w:r w:rsidRPr="00441E6D">
        <w:rPr>
          <w:u w:val="single"/>
          <w:lang w:val="en-US"/>
        </w:rPr>
        <w:t xml:space="preserve"> Hervieux</w:t>
      </w:r>
    </w:p>
    <w:bookmarkEnd w:id="1"/>
    <w:p w:rsidR="003934C1" w:rsidRDefault="003934C1" w:rsidP="00043355">
      <w:pPr>
        <w:spacing w:after="0" w:line="240" w:lineRule="auto"/>
        <w:jc w:val="both"/>
      </w:pPr>
      <w:r>
        <w:t xml:space="preserve">Ülikoolidevahelise ja teaduskoostöö atašee </w:t>
      </w:r>
    </w:p>
    <w:p w:rsidR="003934C1" w:rsidRDefault="003934C1" w:rsidP="00043355">
      <w:pPr>
        <w:spacing w:after="0" w:line="240" w:lineRule="auto"/>
        <w:jc w:val="both"/>
      </w:pPr>
      <w:r>
        <w:t xml:space="preserve">Prantsuse Suursaatkond </w:t>
      </w:r>
    </w:p>
    <w:p w:rsidR="003934C1" w:rsidRDefault="003934C1" w:rsidP="00043355">
      <w:pPr>
        <w:spacing w:after="0" w:line="240" w:lineRule="auto"/>
        <w:jc w:val="both"/>
      </w:pPr>
      <w:r>
        <w:t xml:space="preserve">Toom-Kuninga 20, Tallinn </w:t>
      </w:r>
      <w:r w:rsidR="00043355">
        <w:t>15185</w:t>
      </w:r>
    </w:p>
    <w:p w:rsidR="003934C1" w:rsidRDefault="003934C1" w:rsidP="00043355">
      <w:pPr>
        <w:spacing w:after="0" w:line="240" w:lineRule="auto"/>
        <w:jc w:val="both"/>
      </w:pPr>
      <w:r>
        <w:t xml:space="preserve">Tel +372 616 1642 </w:t>
      </w:r>
    </w:p>
    <w:p w:rsidR="00043355" w:rsidRDefault="003934C1" w:rsidP="00043355">
      <w:pPr>
        <w:spacing w:after="0" w:line="240" w:lineRule="auto"/>
        <w:jc w:val="both"/>
      </w:pPr>
      <w:r>
        <w:t xml:space="preserve">E-mail: </w:t>
      </w:r>
      <w:proofErr w:type="spellStart"/>
      <w:r w:rsidR="009046C2">
        <w:rPr>
          <w:lang w:val="en-US"/>
        </w:rPr>
        <w:t>théodore.hervieux</w:t>
      </w:r>
      <w:proofErr w:type="spellEnd"/>
      <w:r>
        <w:t xml:space="preserve">@ife.ee  </w:t>
      </w:r>
    </w:p>
    <w:p w:rsidR="003934C1" w:rsidRPr="00043355" w:rsidRDefault="003934C1" w:rsidP="00043355">
      <w:pPr>
        <w:spacing w:after="0" w:line="240" w:lineRule="auto"/>
        <w:jc w:val="both"/>
      </w:pPr>
      <w:r w:rsidRPr="00441E6D">
        <w:rPr>
          <w:u w:val="single"/>
        </w:rPr>
        <w:lastRenderedPageBreak/>
        <w:t>Maarja Soonberg</w:t>
      </w:r>
    </w:p>
    <w:p w:rsidR="003934C1" w:rsidRDefault="003934C1" w:rsidP="00043355">
      <w:pPr>
        <w:spacing w:after="0"/>
        <w:jc w:val="both"/>
      </w:pPr>
      <w:r>
        <w:t>PARROT programmi juht</w:t>
      </w:r>
    </w:p>
    <w:p w:rsidR="003934C1" w:rsidRDefault="003934C1" w:rsidP="00043355">
      <w:pPr>
        <w:spacing w:after="0"/>
        <w:jc w:val="both"/>
      </w:pPr>
      <w:r>
        <w:t xml:space="preserve">SA Eesti Teadusagentuur </w:t>
      </w:r>
    </w:p>
    <w:p w:rsidR="00043355" w:rsidRDefault="00043355" w:rsidP="00043355">
      <w:pPr>
        <w:spacing w:after="0"/>
        <w:jc w:val="both"/>
      </w:pPr>
      <w:r>
        <w:t>Soola 8, Tartu 51004</w:t>
      </w:r>
    </w:p>
    <w:p w:rsidR="003934C1" w:rsidRDefault="003934C1" w:rsidP="00043355">
      <w:pPr>
        <w:spacing w:after="0"/>
        <w:jc w:val="both"/>
      </w:pPr>
      <w:r>
        <w:t xml:space="preserve">Tel +372 731 </w:t>
      </w:r>
      <w:r w:rsidR="00186927">
        <w:t>7387</w:t>
      </w:r>
      <w:r>
        <w:t xml:space="preserve"> </w:t>
      </w:r>
    </w:p>
    <w:p w:rsidR="003A581D" w:rsidRDefault="003934C1" w:rsidP="00043355">
      <w:pPr>
        <w:spacing w:after="0"/>
        <w:jc w:val="both"/>
      </w:pPr>
      <w:r>
        <w:t xml:space="preserve">E -mail: maarja.soonberg@etag.ee  </w:t>
      </w:r>
    </w:p>
    <w:sectPr w:rsidR="003A5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B7EF5"/>
    <w:multiLevelType w:val="multilevel"/>
    <w:tmpl w:val="C7E89CCC"/>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 w15:restartNumberingAfterBreak="0">
    <w:nsid w:val="3E9E6B1C"/>
    <w:multiLevelType w:val="hybridMultilevel"/>
    <w:tmpl w:val="6AD28D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68062E1"/>
    <w:multiLevelType w:val="hybridMultilevel"/>
    <w:tmpl w:val="7408D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1B5A0E"/>
    <w:multiLevelType w:val="hybridMultilevel"/>
    <w:tmpl w:val="107253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C1"/>
    <w:rsid w:val="00043355"/>
    <w:rsid w:val="0005025D"/>
    <w:rsid w:val="00186927"/>
    <w:rsid w:val="002A0678"/>
    <w:rsid w:val="003934C1"/>
    <w:rsid w:val="003955AB"/>
    <w:rsid w:val="003A2B8B"/>
    <w:rsid w:val="003A581D"/>
    <w:rsid w:val="00441E6D"/>
    <w:rsid w:val="005862FF"/>
    <w:rsid w:val="005E54E3"/>
    <w:rsid w:val="00607851"/>
    <w:rsid w:val="0065356D"/>
    <w:rsid w:val="0071627F"/>
    <w:rsid w:val="007505D1"/>
    <w:rsid w:val="00766FBB"/>
    <w:rsid w:val="009046C2"/>
    <w:rsid w:val="00932B52"/>
    <w:rsid w:val="00955C59"/>
    <w:rsid w:val="00997F33"/>
    <w:rsid w:val="009B69C6"/>
    <w:rsid w:val="009F5328"/>
    <w:rsid w:val="00AB4B6B"/>
    <w:rsid w:val="00AC226E"/>
    <w:rsid w:val="00AC5D04"/>
    <w:rsid w:val="00AF1738"/>
    <w:rsid w:val="00C80FC9"/>
    <w:rsid w:val="00CA4586"/>
    <w:rsid w:val="00D166F5"/>
    <w:rsid w:val="00D27190"/>
    <w:rsid w:val="00D6013C"/>
    <w:rsid w:val="00D656C3"/>
    <w:rsid w:val="00D86961"/>
    <w:rsid w:val="00D910A8"/>
    <w:rsid w:val="00DC4519"/>
    <w:rsid w:val="00E879D5"/>
    <w:rsid w:val="00EB464C"/>
    <w:rsid w:val="00F03DB9"/>
    <w:rsid w:val="00F26F72"/>
    <w:rsid w:val="00FD3A41"/>
    <w:rsid w:val="00FF4A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5FB37-D6D6-41F2-9E89-5E213120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934C1"/>
    <w:pPr>
      <w:ind w:left="720"/>
      <w:contextualSpacing/>
    </w:pPr>
  </w:style>
  <w:style w:type="character" w:styleId="Hperlink">
    <w:name w:val="Hyperlink"/>
    <w:basedOn w:val="Liguvaikefont"/>
    <w:uiPriority w:val="99"/>
    <w:unhideWhenUsed/>
    <w:rsid w:val="003934C1"/>
    <w:rPr>
      <w:color w:val="0563C1" w:themeColor="hyperlink"/>
      <w:u w:val="single"/>
    </w:rPr>
  </w:style>
  <w:style w:type="character" w:customStyle="1" w:styleId="UnresolvedMention">
    <w:name w:val="Unresolved Mention"/>
    <w:basedOn w:val="Liguvaikefont"/>
    <w:uiPriority w:val="99"/>
    <w:semiHidden/>
    <w:unhideWhenUsed/>
    <w:rsid w:val="0039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tag.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4148</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Soonberg</dc:creator>
  <cp:keywords/>
  <dc:description/>
  <cp:lastModifiedBy>Kristi Auli</cp:lastModifiedBy>
  <cp:revision>2</cp:revision>
  <dcterms:created xsi:type="dcterms:W3CDTF">2020-03-30T07:42:00Z</dcterms:created>
  <dcterms:modified xsi:type="dcterms:W3CDTF">2020-03-30T07:42:00Z</dcterms:modified>
</cp:coreProperties>
</file>