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DAE" w:rsidRPr="00084701" w:rsidRDefault="00E73DAE" w:rsidP="00E73DAE">
      <w:pPr>
        <w:spacing w:after="120" w:line="240" w:lineRule="auto"/>
        <w:rPr>
          <w:rFonts w:asciiTheme="majorHAnsi" w:hAnsiTheme="majorHAnsi" w:cstheme="majorHAnsi"/>
          <w:b/>
          <w:sz w:val="24"/>
        </w:rPr>
      </w:pPr>
      <w:bookmarkStart w:id="0" w:name="_GoBack"/>
      <w:bookmarkEnd w:id="0"/>
      <w:r w:rsidRPr="00084701">
        <w:rPr>
          <w:rFonts w:asciiTheme="majorHAnsi" w:hAnsiTheme="majorHAnsi" w:cstheme="majorHAnsi"/>
          <w:b/>
          <w:sz w:val="24"/>
        </w:rPr>
        <w:t>Balti teaduskoostöö programmi esimese taotlusvooru laekunud taotluste kokkuvõte</w:t>
      </w:r>
    </w:p>
    <w:p w:rsidR="00E73DAE" w:rsidRPr="00C06559" w:rsidRDefault="00E73DAE" w:rsidP="00E73DAE">
      <w:pPr>
        <w:spacing w:after="0" w:line="240" w:lineRule="auto"/>
        <w:rPr>
          <w:rFonts w:asciiTheme="majorHAnsi" w:hAnsiTheme="majorHAnsi" w:cstheme="majorHAnsi"/>
        </w:rPr>
      </w:pPr>
      <w:r w:rsidRPr="00C06559">
        <w:rPr>
          <w:rFonts w:asciiTheme="majorHAnsi" w:hAnsiTheme="majorHAnsi" w:cstheme="majorHAnsi"/>
        </w:rPr>
        <w:t>15.02.2019</w:t>
      </w:r>
    </w:p>
    <w:p w:rsidR="00E73DAE" w:rsidRPr="00C06559" w:rsidRDefault="00E73DAE" w:rsidP="00E73DAE">
      <w:pPr>
        <w:spacing w:after="0" w:line="240" w:lineRule="auto"/>
        <w:rPr>
          <w:rFonts w:asciiTheme="majorHAnsi" w:hAnsiTheme="majorHAnsi" w:cstheme="majorHAnsi"/>
        </w:rPr>
      </w:pPr>
      <w:r w:rsidRPr="00C06559">
        <w:rPr>
          <w:rFonts w:asciiTheme="majorHAnsi" w:hAnsiTheme="majorHAnsi" w:cstheme="majorHAnsi"/>
        </w:rPr>
        <w:t>Maarja Sillaste</w:t>
      </w:r>
    </w:p>
    <w:p w:rsidR="00E73DAE" w:rsidRPr="00C06559" w:rsidRDefault="00E73DAE" w:rsidP="00E73DAE">
      <w:pPr>
        <w:spacing w:after="0" w:line="240" w:lineRule="auto"/>
        <w:rPr>
          <w:rFonts w:asciiTheme="majorHAnsi" w:hAnsiTheme="majorHAnsi" w:cstheme="majorHAnsi"/>
        </w:rPr>
      </w:pPr>
      <w:r w:rsidRPr="00C06559">
        <w:rPr>
          <w:rFonts w:asciiTheme="majorHAnsi" w:hAnsiTheme="majorHAnsi" w:cstheme="majorHAnsi"/>
        </w:rPr>
        <w:t>Analüüsiosakond</w:t>
      </w:r>
    </w:p>
    <w:p w:rsidR="005F1192" w:rsidRPr="00084701" w:rsidRDefault="005F1192">
      <w:pPr>
        <w:rPr>
          <w:rFonts w:asciiTheme="majorHAnsi" w:hAnsiTheme="majorHAnsi" w:cstheme="majorHAnsi"/>
        </w:rPr>
      </w:pPr>
    </w:p>
    <w:p w:rsidR="00E73DAE" w:rsidRPr="00084701" w:rsidRDefault="0055209F" w:rsidP="0055209F">
      <w:pPr>
        <w:rPr>
          <w:rFonts w:asciiTheme="majorHAnsi" w:hAnsiTheme="majorHAnsi" w:cstheme="majorHAnsi"/>
        </w:rPr>
      </w:pPr>
      <w:r w:rsidRPr="00084701">
        <w:rPr>
          <w:rFonts w:asciiTheme="majorHAnsi" w:hAnsiTheme="majorHAnsi" w:cstheme="majorHAnsi"/>
        </w:rPr>
        <w:t>Balti teaduskoostöö programmi esimesse taotlusvooru laekus kokku 130 taotlust.</w:t>
      </w:r>
    </w:p>
    <w:p w:rsidR="0055209F" w:rsidRPr="00084701" w:rsidRDefault="0055209F" w:rsidP="00DA609A">
      <w:pPr>
        <w:spacing w:after="0"/>
        <w:rPr>
          <w:rFonts w:asciiTheme="majorHAnsi" w:hAnsiTheme="majorHAnsi" w:cstheme="majorHAnsi"/>
        </w:rPr>
      </w:pPr>
      <w:r w:rsidRPr="00084701">
        <w:rPr>
          <w:rFonts w:asciiTheme="majorHAnsi" w:hAnsiTheme="majorHAnsi" w:cstheme="majorHAnsi"/>
        </w:rPr>
        <w:t>Tabel 1. Laekunud taotluste arv ja summa asutuste lõikes</w:t>
      </w:r>
    </w:p>
    <w:tbl>
      <w:tblPr>
        <w:tblW w:w="8784" w:type="dxa"/>
        <w:tblCellMar>
          <w:left w:w="70" w:type="dxa"/>
          <w:right w:w="70" w:type="dxa"/>
        </w:tblCellMar>
        <w:tblLook w:val="04A0" w:firstRow="1" w:lastRow="0" w:firstColumn="1" w:lastColumn="0" w:noHBand="0" w:noVBand="1"/>
      </w:tblPr>
      <w:tblGrid>
        <w:gridCol w:w="5520"/>
        <w:gridCol w:w="1421"/>
        <w:gridCol w:w="1843"/>
      </w:tblGrid>
      <w:tr w:rsidR="0055209F" w:rsidRPr="00084701" w:rsidTr="00DA609A">
        <w:trPr>
          <w:trHeight w:val="300"/>
        </w:trPr>
        <w:tc>
          <w:tcPr>
            <w:tcW w:w="5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209F" w:rsidRPr="00084701" w:rsidRDefault="0055209F" w:rsidP="0055209F">
            <w:pPr>
              <w:spacing w:after="0" w:line="240" w:lineRule="auto"/>
              <w:rPr>
                <w:rFonts w:asciiTheme="majorHAnsi" w:eastAsia="Times New Roman" w:hAnsiTheme="majorHAnsi" w:cstheme="majorHAnsi"/>
                <w:b/>
                <w:bCs/>
                <w:color w:val="000000"/>
                <w:lang w:eastAsia="et-EE"/>
              </w:rPr>
            </w:pPr>
            <w:r w:rsidRPr="00084701">
              <w:rPr>
                <w:rFonts w:asciiTheme="majorHAnsi" w:eastAsia="Times New Roman" w:hAnsiTheme="majorHAnsi" w:cstheme="majorHAnsi"/>
                <w:b/>
                <w:bCs/>
                <w:color w:val="000000"/>
                <w:lang w:eastAsia="et-EE"/>
              </w:rPr>
              <w:t>Taotleja asutus</w:t>
            </w:r>
          </w:p>
        </w:tc>
        <w:tc>
          <w:tcPr>
            <w:tcW w:w="1421" w:type="dxa"/>
            <w:tcBorders>
              <w:top w:val="single" w:sz="4" w:space="0" w:color="auto"/>
              <w:left w:val="nil"/>
              <w:bottom w:val="single" w:sz="4" w:space="0" w:color="auto"/>
              <w:right w:val="single" w:sz="4" w:space="0" w:color="auto"/>
            </w:tcBorders>
            <w:shd w:val="clear" w:color="auto" w:fill="auto"/>
            <w:noWrap/>
            <w:vAlign w:val="bottom"/>
            <w:hideMark/>
          </w:tcPr>
          <w:p w:rsidR="0055209F" w:rsidRPr="00084701" w:rsidRDefault="0055209F" w:rsidP="0055209F">
            <w:pPr>
              <w:spacing w:after="0" w:line="240" w:lineRule="auto"/>
              <w:rPr>
                <w:rFonts w:asciiTheme="majorHAnsi" w:eastAsia="Times New Roman" w:hAnsiTheme="majorHAnsi" w:cstheme="majorHAnsi"/>
                <w:b/>
                <w:bCs/>
                <w:color w:val="000000"/>
                <w:lang w:eastAsia="et-EE"/>
              </w:rPr>
            </w:pPr>
            <w:r w:rsidRPr="00084701">
              <w:rPr>
                <w:rFonts w:asciiTheme="majorHAnsi" w:eastAsia="Times New Roman" w:hAnsiTheme="majorHAnsi" w:cstheme="majorHAnsi"/>
                <w:b/>
                <w:bCs/>
                <w:color w:val="000000"/>
                <w:lang w:eastAsia="et-EE"/>
              </w:rPr>
              <w:t>Taotluste arv</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5209F" w:rsidRPr="00084701" w:rsidRDefault="0055209F" w:rsidP="0055209F">
            <w:pPr>
              <w:spacing w:after="0" w:line="240" w:lineRule="auto"/>
              <w:rPr>
                <w:rFonts w:asciiTheme="majorHAnsi" w:eastAsia="Times New Roman" w:hAnsiTheme="majorHAnsi" w:cstheme="majorHAnsi"/>
                <w:b/>
                <w:bCs/>
                <w:color w:val="000000"/>
                <w:lang w:eastAsia="et-EE"/>
              </w:rPr>
            </w:pPr>
            <w:r w:rsidRPr="00084701">
              <w:rPr>
                <w:rFonts w:asciiTheme="majorHAnsi" w:eastAsia="Times New Roman" w:hAnsiTheme="majorHAnsi" w:cstheme="majorHAnsi"/>
                <w:b/>
                <w:bCs/>
                <w:color w:val="000000"/>
                <w:lang w:eastAsia="et-EE"/>
              </w:rPr>
              <w:t>Taotletav summa</w:t>
            </w:r>
          </w:p>
        </w:tc>
      </w:tr>
      <w:tr w:rsidR="0055209F" w:rsidRPr="00084701" w:rsidTr="00DA609A">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rsidR="0055209F" w:rsidRPr="00084701" w:rsidRDefault="0055209F" w:rsidP="0055209F">
            <w:pPr>
              <w:spacing w:after="0" w:line="240" w:lineRule="auto"/>
              <w:rPr>
                <w:rFonts w:asciiTheme="majorHAnsi" w:eastAsia="Times New Roman" w:hAnsiTheme="majorHAnsi" w:cstheme="majorHAnsi"/>
                <w:color w:val="000000"/>
                <w:lang w:eastAsia="et-EE"/>
              </w:rPr>
            </w:pPr>
            <w:r w:rsidRPr="00084701">
              <w:rPr>
                <w:rFonts w:asciiTheme="majorHAnsi" w:eastAsia="Times New Roman" w:hAnsiTheme="majorHAnsi" w:cstheme="majorHAnsi"/>
                <w:color w:val="000000"/>
                <w:lang w:eastAsia="et-EE"/>
              </w:rPr>
              <w:t>Tartu Ülikool</w:t>
            </w:r>
          </w:p>
        </w:tc>
        <w:tc>
          <w:tcPr>
            <w:tcW w:w="1421" w:type="dxa"/>
            <w:tcBorders>
              <w:top w:val="nil"/>
              <w:left w:val="nil"/>
              <w:bottom w:val="single" w:sz="4" w:space="0" w:color="auto"/>
              <w:right w:val="single" w:sz="4" w:space="0" w:color="auto"/>
            </w:tcBorders>
            <w:shd w:val="clear" w:color="auto" w:fill="auto"/>
            <w:noWrap/>
            <w:vAlign w:val="bottom"/>
            <w:hideMark/>
          </w:tcPr>
          <w:p w:rsidR="0055209F" w:rsidRPr="00084701" w:rsidRDefault="0055209F" w:rsidP="0055209F">
            <w:pPr>
              <w:spacing w:after="0" w:line="240" w:lineRule="auto"/>
              <w:jc w:val="right"/>
              <w:rPr>
                <w:rFonts w:asciiTheme="majorHAnsi" w:eastAsia="Times New Roman" w:hAnsiTheme="majorHAnsi" w:cstheme="majorHAnsi"/>
                <w:color w:val="000000"/>
                <w:lang w:eastAsia="et-EE"/>
              </w:rPr>
            </w:pPr>
            <w:r w:rsidRPr="00084701">
              <w:rPr>
                <w:rFonts w:asciiTheme="majorHAnsi" w:eastAsia="Times New Roman" w:hAnsiTheme="majorHAnsi" w:cstheme="majorHAnsi"/>
                <w:color w:val="000000"/>
                <w:lang w:eastAsia="et-EE"/>
              </w:rPr>
              <w:t>60</w:t>
            </w:r>
          </w:p>
        </w:tc>
        <w:tc>
          <w:tcPr>
            <w:tcW w:w="1843" w:type="dxa"/>
            <w:tcBorders>
              <w:top w:val="nil"/>
              <w:left w:val="nil"/>
              <w:bottom w:val="single" w:sz="4" w:space="0" w:color="auto"/>
              <w:right w:val="single" w:sz="4" w:space="0" w:color="auto"/>
            </w:tcBorders>
            <w:shd w:val="clear" w:color="auto" w:fill="auto"/>
            <w:noWrap/>
            <w:vAlign w:val="bottom"/>
            <w:hideMark/>
          </w:tcPr>
          <w:p w:rsidR="0055209F" w:rsidRPr="00084701" w:rsidRDefault="0055209F" w:rsidP="0055209F">
            <w:pPr>
              <w:spacing w:after="0" w:line="240" w:lineRule="auto"/>
              <w:jc w:val="right"/>
              <w:rPr>
                <w:rFonts w:asciiTheme="majorHAnsi" w:eastAsia="Times New Roman" w:hAnsiTheme="majorHAnsi" w:cstheme="majorHAnsi"/>
                <w:color w:val="000000"/>
                <w:lang w:eastAsia="et-EE"/>
              </w:rPr>
            </w:pPr>
            <w:r w:rsidRPr="00084701">
              <w:rPr>
                <w:rFonts w:asciiTheme="majorHAnsi" w:eastAsia="Times New Roman" w:hAnsiTheme="majorHAnsi" w:cstheme="majorHAnsi"/>
                <w:color w:val="000000"/>
                <w:lang w:eastAsia="et-EE"/>
              </w:rPr>
              <w:t>52 943 266,40</w:t>
            </w:r>
          </w:p>
        </w:tc>
      </w:tr>
      <w:tr w:rsidR="0055209F" w:rsidRPr="00084701" w:rsidTr="00DA609A">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rsidR="0055209F" w:rsidRPr="00084701" w:rsidRDefault="0055209F" w:rsidP="00682153">
            <w:pPr>
              <w:spacing w:after="0" w:line="240" w:lineRule="auto"/>
              <w:rPr>
                <w:rFonts w:asciiTheme="majorHAnsi" w:eastAsia="Times New Roman" w:hAnsiTheme="majorHAnsi" w:cstheme="majorHAnsi"/>
                <w:color w:val="000000"/>
                <w:lang w:eastAsia="et-EE"/>
              </w:rPr>
            </w:pPr>
            <w:r w:rsidRPr="00084701">
              <w:rPr>
                <w:rFonts w:asciiTheme="majorHAnsi" w:eastAsia="Times New Roman" w:hAnsiTheme="majorHAnsi" w:cstheme="majorHAnsi"/>
                <w:color w:val="000000"/>
                <w:lang w:eastAsia="et-EE"/>
              </w:rPr>
              <w:t>Tal</w:t>
            </w:r>
            <w:r w:rsidR="00682153">
              <w:rPr>
                <w:rFonts w:asciiTheme="majorHAnsi" w:eastAsia="Times New Roman" w:hAnsiTheme="majorHAnsi" w:cstheme="majorHAnsi"/>
                <w:color w:val="000000"/>
                <w:lang w:eastAsia="et-EE"/>
              </w:rPr>
              <w:t>Tech</w:t>
            </w:r>
          </w:p>
        </w:tc>
        <w:tc>
          <w:tcPr>
            <w:tcW w:w="1421" w:type="dxa"/>
            <w:tcBorders>
              <w:top w:val="nil"/>
              <w:left w:val="nil"/>
              <w:bottom w:val="single" w:sz="4" w:space="0" w:color="auto"/>
              <w:right w:val="single" w:sz="4" w:space="0" w:color="auto"/>
            </w:tcBorders>
            <w:shd w:val="clear" w:color="auto" w:fill="auto"/>
            <w:noWrap/>
            <w:vAlign w:val="bottom"/>
            <w:hideMark/>
          </w:tcPr>
          <w:p w:rsidR="0055209F" w:rsidRPr="00084701" w:rsidRDefault="0055209F" w:rsidP="0055209F">
            <w:pPr>
              <w:spacing w:after="0" w:line="240" w:lineRule="auto"/>
              <w:jc w:val="right"/>
              <w:rPr>
                <w:rFonts w:asciiTheme="majorHAnsi" w:eastAsia="Times New Roman" w:hAnsiTheme="majorHAnsi" w:cstheme="majorHAnsi"/>
                <w:color w:val="000000"/>
                <w:lang w:eastAsia="et-EE"/>
              </w:rPr>
            </w:pPr>
            <w:r w:rsidRPr="00084701">
              <w:rPr>
                <w:rFonts w:asciiTheme="majorHAnsi" w:eastAsia="Times New Roman" w:hAnsiTheme="majorHAnsi" w:cstheme="majorHAnsi"/>
                <w:color w:val="000000"/>
                <w:lang w:eastAsia="et-EE"/>
              </w:rPr>
              <w:t>42</w:t>
            </w:r>
          </w:p>
        </w:tc>
        <w:tc>
          <w:tcPr>
            <w:tcW w:w="1843" w:type="dxa"/>
            <w:tcBorders>
              <w:top w:val="nil"/>
              <w:left w:val="nil"/>
              <w:bottom w:val="single" w:sz="4" w:space="0" w:color="auto"/>
              <w:right w:val="single" w:sz="4" w:space="0" w:color="auto"/>
            </w:tcBorders>
            <w:shd w:val="clear" w:color="auto" w:fill="auto"/>
            <w:noWrap/>
            <w:vAlign w:val="bottom"/>
            <w:hideMark/>
          </w:tcPr>
          <w:p w:rsidR="0055209F" w:rsidRPr="00084701" w:rsidRDefault="0055209F" w:rsidP="0055209F">
            <w:pPr>
              <w:spacing w:after="0" w:line="240" w:lineRule="auto"/>
              <w:jc w:val="right"/>
              <w:rPr>
                <w:rFonts w:asciiTheme="majorHAnsi" w:eastAsia="Times New Roman" w:hAnsiTheme="majorHAnsi" w:cstheme="majorHAnsi"/>
                <w:color w:val="000000"/>
                <w:lang w:eastAsia="et-EE"/>
              </w:rPr>
            </w:pPr>
            <w:r w:rsidRPr="00084701">
              <w:rPr>
                <w:rFonts w:asciiTheme="majorHAnsi" w:eastAsia="Times New Roman" w:hAnsiTheme="majorHAnsi" w:cstheme="majorHAnsi"/>
                <w:color w:val="000000"/>
                <w:lang w:eastAsia="et-EE"/>
              </w:rPr>
              <w:t>36 372 045,79</w:t>
            </w:r>
          </w:p>
        </w:tc>
      </w:tr>
      <w:tr w:rsidR="0055209F" w:rsidRPr="00084701" w:rsidTr="00DA609A">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rsidR="0055209F" w:rsidRPr="00084701" w:rsidRDefault="0055209F" w:rsidP="0055209F">
            <w:pPr>
              <w:spacing w:after="0" w:line="240" w:lineRule="auto"/>
              <w:rPr>
                <w:rFonts w:asciiTheme="majorHAnsi" w:eastAsia="Times New Roman" w:hAnsiTheme="majorHAnsi" w:cstheme="majorHAnsi"/>
                <w:color w:val="000000"/>
                <w:lang w:eastAsia="et-EE"/>
              </w:rPr>
            </w:pPr>
            <w:r w:rsidRPr="00084701">
              <w:rPr>
                <w:rFonts w:asciiTheme="majorHAnsi" w:eastAsia="Times New Roman" w:hAnsiTheme="majorHAnsi" w:cstheme="majorHAnsi"/>
                <w:color w:val="000000"/>
                <w:lang w:eastAsia="et-EE"/>
              </w:rPr>
              <w:t>Eesti Maaülikool</w:t>
            </w:r>
          </w:p>
        </w:tc>
        <w:tc>
          <w:tcPr>
            <w:tcW w:w="1421" w:type="dxa"/>
            <w:tcBorders>
              <w:top w:val="nil"/>
              <w:left w:val="nil"/>
              <w:bottom w:val="single" w:sz="4" w:space="0" w:color="auto"/>
              <w:right w:val="single" w:sz="4" w:space="0" w:color="auto"/>
            </w:tcBorders>
            <w:shd w:val="clear" w:color="auto" w:fill="auto"/>
            <w:noWrap/>
            <w:vAlign w:val="bottom"/>
            <w:hideMark/>
          </w:tcPr>
          <w:p w:rsidR="0055209F" w:rsidRPr="00084701" w:rsidRDefault="0055209F" w:rsidP="0055209F">
            <w:pPr>
              <w:spacing w:after="0" w:line="240" w:lineRule="auto"/>
              <w:jc w:val="right"/>
              <w:rPr>
                <w:rFonts w:asciiTheme="majorHAnsi" w:eastAsia="Times New Roman" w:hAnsiTheme="majorHAnsi" w:cstheme="majorHAnsi"/>
                <w:color w:val="000000"/>
                <w:lang w:eastAsia="et-EE"/>
              </w:rPr>
            </w:pPr>
            <w:r w:rsidRPr="00084701">
              <w:rPr>
                <w:rFonts w:asciiTheme="majorHAnsi" w:eastAsia="Times New Roman" w:hAnsiTheme="majorHAnsi" w:cstheme="majorHAnsi"/>
                <w:color w:val="000000"/>
                <w:lang w:eastAsia="et-EE"/>
              </w:rPr>
              <w:t>8</w:t>
            </w:r>
          </w:p>
        </w:tc>
        <w:tc>
          <w:tcPr>
            <w:tcW w:w="1843" w:type="dxa"/>
            <w:tcBorders>
              <w:top w:val="nil"/>
              <w:left w:val="nil"/>
              <w:bottom w:val="single" w:sz="4" w:space="0" w:color="auto"/>
              <w:right w:val="single" w:sz="4" w:space="0" w:color="auto"/>
            </w:tcBorders>
            <w:shd w:val="clear" w:color="auto" w:fill="auto"/>
            <w:noWrap/>
            <w:vAlign w:val="bottom"/>
            <w:hideMark/>
          </w:tcPr>
          <w:p w:rsidR="0055209F" w:rsidRPr="00084701" w:rsidRDefault="0055209F" w:rsidP="0055209F">
            <w:pPr>
              <w:spacing w:after="0" w:line="240" w:lineRule="auto"/>
              <w:jc w:val="right"/>
              <w:rPr>
                <w:rFonts w:asciiTheme="majorHAnsi" w:eastAsia="Times New Roman" w:hAnsiTheme="majorHAnsi" w:cstheme="majorHAnsi"/>
                <w:color w:val="000000"/>
                <w:lang w:eastAsia="et-EE"/>
              </w:rPr>
            </w:pPr>
            <w:r w:rsidRPr="00084701">
              <w:rPr>
                <w:rFonts w:asciiTheme="majorHAnsi" w:eastAsia="Times New Roman" w:hAnsiTheme="majorHAnsi" w:cstheme="majorHAnsi"/>
                <w:color w:val="000000"/>
                <w:lang w:eastAsia="et-EE"/>
              </w:rPr>
              <w:t>6 999 910,31</w:t>
            </w:r>
          </w:p>
        </w:tc>
      </w:tr>
      <w:tr w:rsidR="0055209F" w:rsidRPr="00084701" w:rsidTr="00DA609A">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rsidR="0055209F" w:rsidRPr="00084701" w:rsidRDefault="0055209F" w:rsidP="0055209F">
            <w:pPr>
              <w:spacing w:after="0" w:line="240" w:lineRule="auto"/>
              <w:rPr>
                <w:rFonts w:asciiTheme="majorHAnsi" w:eastAsia="Times New Roman" w:hAnsiTheme="majorHAnsi" w:cstheme="majorHAnsi"/>
                <w:color w:val="000000"/>
                <w:lang w:eastAsia="et-EE"/>
              </w:rPr>
            </w:pPr>
            <w:r w:rsidRPr="00084701">
              <w:rPr>
                <w:rFonts w:asciiTheme="majorHAnsi" w:eastAsia="Times New Roman" w:hAnsiTheme="majorHAnsi" w:cstheme="majorHAnsi"/>
                <w:color w:val="000000"/>
                <w:lang w:eastAsia="et-EE"/>
              </w:rPr>
              <w:t>Tallinna Ülikool</w:t>
            </w:r>
          </w:p>
        </w:tc>
        <w:tc>
          <w:tcPr>
            <w:tcW w:w="1421" w:type="dxa"/>
            <w:tcBorders>
              <w:top w:val="nil"/>
              <w:left w:val="nil"/>
              <w:bottom w:val="single" w:sz="4" w:space="0" w:color="auto"/>
              <w:right w:val="single" w:sz="4" w:space="0" w:color="auto"/>
            </w:tcBorders>
            <w:shd w:val="clear" w:color="auto" w:fill="auto"/>
            <w:noWrap/>
            <w:vAlign w:val="bottom"/>
            <w:hideMark/>
          </w:tcPr>
          <w:p w:rsidR="0055209F" w:rsidRPr="00084701" w:rsidRDefault="0055209F" w:rsidP="0055209F">
            <w:pPr>
              <w:spacing w:after="0" w:line="240" w:lineRule="auto"/>
              <w:jc w:val="right"/>
              <w:rPr>
                <w:rFonts w:asciiTheme="majorHAnsi" w:eastAsia="Times New Roman" w:hAnsiTheme="majorHAnsi" w:cstheme="majorHAnsi"/>
                <w:color w:val="000000"/>
                <w:lang w:eastAsia="et-EE"/>
              </w:rPr>
            </w:pPr>
            <w:r w:rsidRPr="00084701">
              <w:rPr>
                <w:rFonts w:asciiTheme="majorHAnsi" w:eastAsia="Times New Roman" w:hAnsiTheme="majorHAnsi" w:cstheme="majorHAnsi"/>
                <w:color w:val="000000"/>
                <w:lang w:eastAsia="et-EE"/>
              </w:rPr>
              <w:t>8</w:t>
            </w:r>
          </w:p>
        </w:tc>
        <w:tc>
          <w:tcPr>
            <w:tcW w:w="1843" w:type="dxa"/>
            <w:tcBorders>
              <w:top w:val="nil"/>
              <w:left w:val="nil"/>
              <w:bottom w:val="single" w:sz="4" w:space="0" w:color="auto"/>
              <w:right w:val="single" w:sz="4" w:space="0" w:color="auto"/>
            </w:tcBorders>
            <w:shd w:val="clear" w:color="auto" w:fill="auto"/>
            <w:noWrap/>
            <w:vAlign w:val="bottom"/>
            <w:hideMark/>
          </w:tcPr>
          <w:p w:rsidR="0055209F" w:rsidRPr="00084701" w:rsidRDefault="0055209F" w:rsidP="0055209F">
            <w:pPr>
              <w:spacing w:after="0" w:line="240" w:lineRule="auto"/>
              <w:jc w:val="right"/>
              <w:rPr>
                <w:rFonts w:asciiTheme="majorHAnsi" w:eastAsia="Times New Roman" w:hAnsiTheme="majorHAnsi" w:cstheme="majorHAnsi"/>
                <w:color w:val="000000"/>
                <w:lang w:eastAsia="et-EE"/>
              </w:rPr>
            </w:pPr>
            <w:r w:rsidRPr="00084701">
              <w:rPr>
                <w:rFonts w:asciiTheme="majorHAnsi" w:eastAsia="Times New Roman" w:hAnsiTheme="majorHAnsi" w:cstheme="majorHAnsi"/>
                <w:color w:val="000000"/>
                <w:lang w:eastAsia="et-EE"/>
              </w:rPr>
              <w:t>7 663 867,07</w:t>
            </w:r>
          </w:p>
        </w:tc>
      </w:tr>
      <w:tr w:rsidR="0055209F" w:rsidRPr="00084701" w:rsidTr="00DA609A">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rsidR="0055209F" w:rsidRPr="00084701" w:rsidRDefault="0055209F" w:rsidP="0055209F">
            <w:pPr>
              <w:spacing w:after="0" w:line="240" w:lineRule="auto"/>
              <w:rPr>
                <w:rFonts w:asciiTheme="majorHAnsi" w:eastAsia="Times New Roman" w:hAnsiTheme="majorHAnsi" w:cstheme="majorHAnsi"/>
                <w:color w:val="000000"/>
                <w:lang w:eastAsia="et-EE"/>
              </w:rPr>
            </w:pPr>
            <w:r w:rsidRPr="00084701">
              <w:rPr>
                <w:rFonts w:asciiTheme="majorHAnsi" w:eastAsia="Times New Roman" w:hAnsiTheme="majorHAnsi" w:cstheme="majorHAnsi"/>
                <w:color w:val="000000"/>
                <w:lang w:eastAsia="et-EE"/>
              </w:rPr>
              <w:t>Keemilise ja Bioloogilise Füüsika Instituut</w:t>
            </w:r>
          </w:p>
        </w:tc>
        <w:tc>
          <w:tcPr>
            <w:tcW w:w="1421" w:type="dxa"/>
            <w:tcBorders>
              <w:top w:val="nil"/>
              <w:left w:val="nil"/>
              <w:bottom w:val="single" w:sz="4" w:space="0" w:color="auto"/>
              <w:right w:val="single" w:sz="4" w:space="0" w:color="auto"/>
            </w:tcBorders>
            <w:shd w:val="clear" w:color="auto" w:fill="auto"/>
            <w:noWrap/>
            <w:vAlign w:val="bottom"/>
            <w:hideMark/>
          </w:tcPr>
          <w:p w:rsidR="0055209F" w:rsidRPr="00084701" w:rsidRDefault="0055209F" w:rsidP="0055209F">
            <w:pPr>
              <w:spacing w:after="0" w:line="240" w:lineRule="auto"/>
              <w:jc w:val="right"/>
              <w:rPr>
                <w:rFonts w:asciiTheme="majorHAnsi" w:eastAsia="Times New Roman" w:hAnsiTheme="majorHAnsi" w:cstheme="majorHAnsi"/>
                <w:color w:val="000000"/>
                <w:lang w:eastAsia="et-EE"/>
              </w:rPr>
            </w:pPr>
            <w:r w:rsidRPr="00084701">
              <w:rPr>
                <w:rFonts w:asciiTheme="majorHAnsi" w:eastAsia="Times New Roman" w:hAnsiTheme="majorHAnsi" w:cstheme="majorHAnsi"/>
                <w:color w:val="000000"/>
                <w:lang w:eastAsia="et-EE"/>
              </w:rPr>
              <w:t>3</w:t>
            </w:r>
          </w:p>
        </w:tc>
        <w:tc>
          <w:tcPr>
            <w:tcW w:w="1843" w:type="dxa"/>
            <w:tcBorders>
              <w:top w:val="nil"/>
              <w:left w:val="nil"/>
              <w:bottom w:val="single" w:sz="4" w:space="0" w:color="auto"/>
              <w:right w:val="single" w:sz="4" w:space="0" w:color="auto"/>
            </w:tcBorders>
            <w:shd w:val="clear" w:color="auto" w:fill="auto"/>
            <w:noWrap/>
            <w:vAlign w:val="bottom"/>
            <w:hideMark/>
          </w:tcPr>
          <w:p w:rsidR="0055209F" w:rsidRPr="00084701" w:rsidRDefault="0055209F" w:rsidP="0055209F">
            <w:pPr>
              <w:spacing w:after="0" w:line="240" w:lineRule="auto"/>
              <w:jc w:val="right"/>
              <w:rPr>
                <w:rFonts w:asciiTheme="majorHAnsi" w:eastAsia="Times New Roman" w:hAnsiTheme="majorHAnsi" w:cstheme="majorHAnsi"/>
                <w:color w:val="000000"/>
                <w:lang w:eastAsia="et-EE"/>
              </w:rPr>
            </w:pPr>
            <w:r w:rsidRPr="00084701">
              <w:rPr>
                <w:rFonts w:asciiTheme="majorHAnsi" w:eastAsia="Times New Roman" w:hAnsiTheme="majorHAnsi" w:cstheme="majorHAnsi"/>
                <w:color w:val="000000"/>
                <w:lang w:eastAsia="et-EE"/>
              </w:rPr>
              <w:t>2 927 500,00</w:t>
            </w:r>
          </w:p>
        </w:tc>
      </w:tr>
      <w:tr w:rsidR="0055209F" w:rsidRPr="00084701" w:rsidTr="00DA609A">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rsidR="0055209F" w:rsidRPr="00084701" w:rsidRDefault="0055209F" w:rsidP="0055209F">
            <w:pPr>
              <w:spacing w:after="0" w:line="240" w:lineRule="auto"/>
              <w:rPr>
                <w:rFonts w:asciiTheme="majorHAnsi" w:eastAsia="Times New Roman" w:hAnsiTheme="majorHAnsi" w:cstheme="majorHAnsi"/>
                <w:color w:val="000000"/>
                <w:lang w:eastAsia="et-EE"/>
              </w:rPr>
            </w:pPr>
            <w:r w:rsidRPr="00084701">
              <w:rPr>
                <w:rFonts w:asciiTheme="majorHAnsi" w:eastAsia="Times New Roman" w:hAnsiTheme="majorHAnsi" w:cstheme="majorHAnsi"/>
                <w:color w:val="000000"/>
                <w:lang w:eastAsia="et-EE"/>
              </w:rPr>
              <w:t>Tervise Arengu Instituut</w:t>
            </w:r>
          </w:p>
        </w:tc>
        <w:tc>
          <w:tcPr>
            <w:tcW w:w="1421" w:type="dxa"/>
            <w:tcBorders>
              <w:top w:val="nil"/>
              <w:left w:val="nil"/>
              <w:bottom w:val="single" w:sz="4" w:space="0" w:color="auto"/>
              <w:right w:val="single" w:sz="4" w:space="0" w:color="auto"/>
            </w:tcBorders>
            <w:shd w:val="clear" w:color="auto" w:fill="auto"/>
            <w:noWrap/>
            <w:vAlign w:val="bottom"/>
            <w:hideMark/>
          </w:tcPr>
          <w:p w:rsidR="0055209F" w:rsidRPr="00084701" w:rsidRDefault="0055209F" w:rsidP="0055209F">
            <w:pPr>
              <w:spacing w:after="0" w:line="240" w:lineRule="auto"/>
              <w:jc w:val="right"/>
              <w:rPr>
                <w:rFonts w:asciiTheme="majorHAnsi" w:eastAsia="Times New Roman" w:hAnsiTheme="majorHAnsi" w:cstheme="majorHAnsi"/>
                <w:color w:val="000000"/>
                <w:lang w:eastAsia="et-EE"/>
              </w:rPr>
            </w:pPr>
            <w:r w:rsidRPr="00084701">
              <w:rPr>
                <w:rFonts w:asciiTheme="majorHAnsi" w:eastAsia="Times New Roman" w:hAnsiTheme="majorHAnsi" w:cstheme="majorHAnsi"/>
                <w:color w:val="000000"/>
                <w:lang w:eastAsia="et-EE"/>
              </w:rPr>
              <w:t>3</w:t>
            </w:r>
          </w:p>
        </w:tc>
        <w:tc>
          <w:tcPr>
            <w:tcW w:w="1843" w:type="dxa"/>
            <w:tcBorders>
              <w:top w:val="nil"/>
              <w:left w:val="nil"/>
              <w:bottom w:val="single" w:sz="4" w:space="0" w:color="auto"/>
              <w:right w:val="single" w:sz="4" w:space="0" w:color="auto"/>
            </w:tcBorders>
            <w:shd w:val="clear" w:color="auto" w:fill="auto"/>
            <w:noWrap/>
            <w:vAlign w:val="bottom"/>
            <w:hideMark/>
          </w:tcPr>
          <w:p w:rsidR="0055209F" w:rsidRPr="00084701" w:rsidRDefault="0055209F" w:rsidP="0055209F">
            <w:pPr>
              <w:spacing w:after="0" w:line="240" w:lineRule="auto"/>
              <w:jc w:val="right"/>
              <w:rPr>
                <w:rFonts w:asciiTheme="majorHAnsi" w:eastAsia="Times New Roman" w:hAnsiTheme="majorHAnsi" w:cstheme="majorHAnsi"/>
                <w:color w:val="000000"/>
                <w:lang w:eastAsia="et-EE"/>
              </w:rPr>
            </w:pPr>
            <w:r w:rsidRPr="00084701">
              <w:rPr>
                <w:rFonts w:asciiTheme="majorHAnsi" w:eastAsia="Times New Roman" w:hAnsiTheme="majorHAnsi" w:cstheme="majorHAnsi"/>
                <w:color w:val="000000"/>
                <w:lang w:eastAsia="et-EE"/>
              </w:rPr>
              <w:t>2 367 240,83</w:t>
            </w:r>
          </w:p>
        </w:tc>
      </w:tr>
      <w:tr w:rsidR="0055209F" w:rsidRPr="00084701" w:rsidTr="00DA609A">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rsidR="0055209F" w:rsidRPr="00084701" w:rsidRDefault="0055209F" w:rsidP="0055209F">
            <w:pPr>
              <w:spacing w:after="0" w:line="240" w:lineRule="auto"/>
              <w:rPr>
                <w:rFonts w:asciiTheme="majorHAnsi" w:eastAsia="Times New Roman" w:hAnsiTheme="majorHAnsi" w:cstheme="majorHAnsi"/>
                <w:color w:val="000000"/>
                <w:lang w:eastAsia="et-EE"/>
              </w:rPr>
            </w:pPr>
            <w:r w:rsidRPr="00084701">
              <w:rPr>
                <w:rFonts w:asciiTheme="majorHAnsi" w:eastAsia="Times New Roman" w:hAnsiTheme="majorHAnsi" w:cstheme="majorHAnsi"/>
                <w:color w:val="000000"/>
                <w:lang w:eastAsia="et-EE"/>
              </w:rPr>
              <w:t>AS Toidu- ja Fermentatsioonitehnoloogia Arenduskeskus</w:t>
            </w:r>
          </w:p>
        </w:tc>
        <w:tc>
          <w:tcPr>
            <w:tcW w:w="1421" w:type="dxa"/>
            <w:tcBorders>
              <w:top w:val="nil"/>
              <w:left w:val="nil"/>
              <w:bottom w:val="single" w:sz="4" w:space="0" w:color="auto"/>
              <w:right w:val="single" w:sz="4" w:space="0" w:color="auto"/>
            </w:tcBorders>
            <w:shd w:val="clear" w:color="auto" w:fill="auto"/>
            <w:noWrap/>
            <w:vAlign w:val="bottom"/>
            <w:hideMark/>
          </w:tcPr>
          <w:p w:rsidR="0055209F" w:rsidRPr="00084701" w:rsidRDefault="0055209F" w:rsidP="0055209F">
            <w:pPr>
              <w:spacing w:after="0" w:line="240" w:lineRule="auto"/>
              <w:jc w:val="right"/>
              <w:rPr>
                <w:rFonts w:asciiTheme="majorHAnsi" w:eastAsia="Times New Roman" w:hAnsiTheme="majorHAnsi" w:cstheme="majorHAnsi"/>
                <w:color w:val="000000"/>
                <w:lang w:eastAsia="et-EE"/>
              </w:rPr>
            </w:pPr>
            <w:r w:rsidRPr="00084701">
              <w:rPr>
                <w:rFonts w:asciiTheme="majorHAnsi" w:eastAsia="Times New Roman" w:hAnsiTheme="majorHAnsi" w:cstheme="majorHAnsi"/>
                <w:color w:val="000000"/>
                <w:lang w:eastAsia="et-EE"/>
              </w:rPr>
              <w:t>1</w:t>
            </w:r>
          </w:p>
        </w:tc>
        <w:tc>
          <w:tcPr>
            <w:tcW w:w="1843" w:type="dxa"/>
            <w:tcBorders>
              <w:top w:val="nil"/>
              <w:left w:val="nil"/>
              <w:bottom w:val="single" w:sz="4" w:space="0" w:color="auto"/>
              <w:right w:val="single" w:sz="4" w:space="0" w:color="auto"/>
            </w:tcBorders>
            <w:shd w:val="clear" w:color="auto" w:fill="auto"/>
            <w:noWrap/>
            <w:vAlign w:val="bottom"/>
            <w:hideMark/>
          </w:tcPr>
          <w:p w:rsidR="0055209F" w:rsidRPr="00084701" w:rsidRDefault="0055209F" w:rsidP="0055209F">
            <w:pPr>
              <w:spacing w:after="0" w:line="240" w:lineRule="auto"/>
              <w:jc w:val="right"/>
              <w:rPr>
                <w:rFonts w:asciiTheme="majorHAnsi" w:eastAsia="Times New Roman" w:hAnsiTheme="majorHAnsi" w:cstheme="majorHAnsi"/>
                <w:color w:val="000000"/>
                <w:lang w:eastAsia="et-EE"/>
              </w:rPr>
            </w:pPr>
            <w:r w:rsidRPr="00084701">
              <w:rPr>
                <w:rFonts w:asciiTheme="majorHAnsi" w:eastAsia="Times New Roman" w:hAnsiTheme="majorHAnsi" w:cstheme="majorHAnsi"/>
                <w:color w:val="000000"/>
                <w:lang w:eastAsia="et-EE"/>
              </w:rPr>
              <w:t>999 235,00</w:t>
            </w:r>
          </w:p>
        </w:tc>
      </w:tr>
      <w:tr w:rsidR="0055209F" w:rsidRPr="00084701" w:rsidTr="00DA609A">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rsidR="0055209F" w:rsidRPr="00084701" w:rsidRDefault="0055209F" w:rsidP="0055209F">
            <w:pPr>
              <w:spacing w:after="0" w:line="240" w:lineRule="auto"/>
              <w:rPr>
                <w:rFonts w:asciiTheme="majorHAnsi" w:eastAsia="Times New Roman" w:hAnsiTheme="majorHAnsi" w:cstheme="majorHAnsi"/>
                <w:color w:val="000000"/>
                <w:lang w:eastAsia="et-EE"/>
              </w:rPr>
            </w:pPr>
            <w:r w:rsidRPr="00084701">
              <w:rPr>
                <w:rFonts w:asciiTheme="majorHAnsi" w:eastAsia="Times New Roman" w:hAnsiTheme="majorHAnsi" w:cstheme="majorHAnsi"/>
                <w:color w:val="000000"/>
                <w:lang w:eastAsia="et-EE"/>
              </w:rPr>
              <w:t>Cybernetica AS</w:t>
            </w:r>
          </w:p>
        </w:tc>
        <w:tc>
          <w:tcPr>
            <w:tcW w:w="1421" w:type="dxa"/>
            <w:tcBorders>
              <w:top w:val="nil"/>
              <w:left w:val="nil"/>
              <w:bottom w:val="single" w:sz="4" w:space="0" w:color="auto"/>
              <w:right w:val="single" w:sz="4" w:space="0" w:color="auto"/>
            </w:tcBorders>
            <w:shd w:val="clear" w:color="auto" w:fill="auto"/>
            <w:noWrap/>
            <w:vAlign w:val="bottom"/>
            <w:hideMark/>
          </w:tcPr>
          <w:p w:rsidR="0055209F" w:rsidRPr="00084701" w:rsidRDefault="0055209F" w:rsidP="0055209F">
            <w:pPr>
              <w:spacing w:after="0" w:line="240" w:lineRule="auto"/>
              <w:jc w:val="right"/>
              <w:rPr>
                <w:rFonts w:asciiTheme="majorHAnsi" w:eastAsia="Times New Roman" w:hAnsiTheme="majorHAnsi" w:cstheme="majorHAnsi"/>
                <w:color w:val="000000"/>
                <w:lang w:eastAsia="et-EE"/>
              </w:rPr>
            </w:pPr>
            <w:r w:rsidRPr="00084701">
              <w:rPr>
                <w:rFonts w:asciiTheme="majorHAnsi" w:eastAsia="Times New Roman" w:hAnsiTheme="majorHAnsi" w:cstheme="majorHAnsi"/>
                <w:color w:val="000000"/>
                <w:lang w:eastAsia="et-EE"/>
              </w:rPr>
              <w:t>1</w:t>
            </w:r>
          </w:p>
        </w:tc>
        <w:tc>
          <w:tcPr>
            <w:tcW w:w="1843" w:type="dxa"/>
            <w:tcBorders>
              <w:top w:val="nil"/>
              <w:left w:val="nil"/>
              <w:bottom w:val="single" w:sz="4" w:space="0" w:color="auto"/>
              <w:right w:val="single" w:sz="4" w:space="0" w:color="auto"/>
            </w:tcBorders>
            <w:shd w:val="clear" w:color="auto" w:fill="auto"/>
            <w:noWrap/>
            <w:vAlign w:val="bottom"/>
            <w:hideMark/>
          </w:tcPr>
          <w:p w:rsidR="0055209F" w:rsidRPr="00084701" w:rsidRDefault="0055209F" w:rsidP="0055209F">
            <w:pPr>
              <w:spacing w:after="0" w:line="240" w:lineRule="auto"/>
              <w:jc w:val="right"/>
              <w:rPr>
                <w:rFonts w:asciiTheme="majorHAnsi" w:eastAsia="Times New Roman" w:hAnsiTheme="majorHAnsi" w:cstheme="majorHAnsi"/>
                <w:color w:val="000000"/>
                <w:lang w:eastAsia="et-EE"/>
              </w:rPr>
            </w:pPr>
            <w:r w:rsidRPr="00084701">
              <w:rPr>
                <w:rFonts w:asciiTheme="majorHAnsi" w:eastAsia="Times New Roman" w:hAnsiTheme="majorHAnsi" w:cstheme="majorHAnsi"/>
                <w:color w:val="000000"/>
                <w:lang w:eastAsia="et-EE"/>
              </w:rPr>
              <w:t>997 461,25</w:t>
            </w:r>
          </w:p>
        </w:tc>
      </w:tr>
      <w:tr w:rsidR="0055209F" w:rsidRPr="00084701" w:rsidTr="00DA609A">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rsidR="0055209F" w:rsidRPr="00084701" w:rsidRDefault="0055209F" w:rsidP="0055209F">
            <w:pPr>
              <w:spacing w:after="0" w:line="240" w:lineRule="auto"/>
              <w:rPr>
                <w:rFonts w:asciiTheme="majorHAnsi" w:eastAsia="Times New Roman" w:hAnsiTheme="majorHAnsi" w:cstheme="majorHAnsi"/>
                <w:color w:val="000000"/>
                <w:lang w:eastAsia="et-EE"/>
              </w:rPr>
            </w:pPr>
            <w:r w:rsidRPr="00084701">
              <w:rPr>
                <w:rFonts w:asciiTheme="majorHAnsi" w:eastAsia="Times New Roman" w:hAnsiTheme="majorHAnsi" w:cstheme="majorHAnsi"/>
                <w:color w:val="000000"/>
                <w:lang w:eastAsia="et-EE"/>
              </w:rPr>
              <w:t>Eesti Kirjandusmuuseum</w:t>
            </w:r>
          </w:p>
        </w:tc>
        <w:tc>
          <w:tcPr>
            <w:tcW w:w="1421" w:type="dxa"/>
            <w:tcBorders>
              <w:top w:val="nil"/>
              <w:left w:val="nil"/>
              <w:bottom w:val="single" w:sz="4" w:space="0" w:color="auto"/>
              <w:right w:val="single" w:sz="4" w:space="0" w:color="auto"/>
            </w:tcBorders>
            <w:shd w:val="clear" w:color="auto" w:fill="auto"/>
            <w:noWrap/>
            <w:vAlign w:val="bottom"/>
            <w:hideMark/>
          </w:tcPr>
          <w:p w:rsidR="0055209F" w:rsidRPr="00084701" w:rsidRDefault="0055209F" w:rsidP="0055209F">
            <w:pPr>
              <w:spacing w:after="0" w:line="240" w:lineRule="auto"/>
              <w:jc w:val="right"/>
              <w:rPr>
                <w:rFonts w:asciiTheme="majorHAnsi" w:eastAsia="Times New Roman" w:hAnsiTheme="majorHAnsi" w:cstheme="majorHAnsi"/>
                <w:color w:val="000000"/>
                <w:lang w:eastAsia="et-EE"/>
              </w:rPr>
            </w:pPr>
            <w:r w:rsidRPr="00084701">
              <w:rPr>
                <w:rFonts w:asciiTheme="majorHAnsi" w:eastAsia="Times New Roman" w:hAnsiTheme="majorHAnsi" w:cstheme="majorHAnsi"/>
                <w:color w:val="000000"/>
                <w:lang w:eastAsia="et-EE"/>
              </w:rPr>
              <w:t>1</w:t>
            </w:r>
          </w:p>
        </w:tc>
        <w:tc>
          <w:tcPr>
            <w:tcW w:w="1843" w:type="dxa"/>
            <w:tcBorders>
              <w:top w:val="nil"/>
              <w:left w:val="nil"/>
              <w:bottom w:val="single" w:sz="4" w:space="0" w:color="auto"/>
              <w:right w:val="single" w:sz="4" w:space="0" w:color="auto"/>
            </w:tcBorders>
            <w:shd w:val="clear" w:color="auto" w:fill="auto"/>
            <w:noWrap/>
            <w:vAlign w:val="bottom"/>
            <w:hideMark/>
          </w:tcPr>
          <w:p w:rsidR="0055209F" w:rsidRPr="00084701" w:rsidRDefault="0055209F" w:rsidP="0055209F">
            <w:pPr>
              <w:spacing w:after="0" w:line="240" w:lineRule="auto"/>
              <w:jc w:val="right"/>
              <w:rPr>
                <w:rFonts w:asciiTheme="majorHAnsi" w:eastAsia="Times New Roman" w:hAnsiTheme="majorHAnsi" w:cstheme="majorHAnsi"/>
                <w:color w:val="000000"/>
                <w:lang w:eastAsia="et-EE"/>
              </w:rPr>
            </w:pPr>
            <w:r w:rsidRPr="00084701">
              <w:rPr>
                <w:rFonts w:asciiTheme="majorHAnsi" w:eastAsia="Times New Roman" w:hAnsiTheme="majorHAnsi" w:cstheme="majorHAnsi"/>
                <w:color w:val="000000"/>
                <w:lang w:eastAsia="et-EE"/>
              </w:rPr>
              <w:t>979 152,74</w:t>
            </w:r>
          </w:p>
        </w:tc>
      </w:tr>
      <w:tr w:rsidR="0055209F" w:rsidRPr="00084701" w:rsidTr="00DA609A">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rsidR="0055209F" w:rsidRPr="00084701" w:rsidRDefault="0055209F" w:rsidP="0055209F">
            <w:pPr>
              <w:spacing w:after="0" w:line="240" w:lineRule="auto"/>
              <w:rPr>
                <w:rFonts w:asciiTheme="majorHAnsi" w:eastAsia="Times New Roman" w:hAnsiTheme="majorHAnsi" w:cstheme="majorHAnsi"/>
                <w:color w:val="000000"/>
                <w:lang w:eastAsia="et-EE"/>
              </w:rPr>
            </w:pPr>
            <w:r w:rsidRPr="00084701">
              <w:rPr>
                <w:rFonts w:asciiTheme="majorHAnsi" w:eastAsia="Times New Roman" w:hAnsiTheme="majorHAnsi" w:cstheme="majorHAnsi"/>
                <w:color w:val="000000"/>
                <w:lang w:eastAsia="et-EE"/>
              </w:rPr>
              <w:t>Eesti Kunstiakadeemia</w:t>
            </w:r>
          </w:p>
        </w:tc>
        <w:tc>
          <w:tcPr>
            <w:tcW w:w="1421" w:type="dxa"/>
            <w:tcBorders>
              <w:top w:val="nil"/>
              <w:left w:val="nil"/>
              <w:bottom w:val="single" w:sz="4" w:space="0" w:color="auto"/>
              <w:right w:val="single" w:sz="4" w:space="0" w:color="auto"/>
            </w:tcBorders>
            <w:shd w:val="clear" w:color="auto" w:fill="auto"/>
            <w:noWrap/>
            <w:vAlign w:val="bottom"/>
            <w:hideMark/>
          </w:tcPr>
          <w:p w:rsidR="0055209F" w:rsidRPr="00084701" w:rsidRDefault="0055209F" w:rsidP="0055209F">
            <w:pPr>
              <w:spacing w:after="0" w:line="240" w:lineRule="auto"/>
              <w:jc w:val="right"/>
              <w:rPr>
                <w:rFonts w:asciiTheme="majorHAnsi" w:eastAsia="Times New Roman" w:hAnsiTheme="majorHAnsi" w:cstheme="majorHAnsi"/>
                <w:color w:val="000000"/>
                <w:lang w:eastAsia="et-EE"/>
              </w:rPr>
            </w:pPr>
            <w:r w:rsidRPr="00084701">
              <w:rPr>
                <w:rFonts w:asciiTheme="majorHAnsi" w:eastAsia="Times New Roman" w:hAnsiTheme="majorHAnsi" w:cstheme="majorHAnsi"/>
                <w:color w:val="000000"/>
                <w:lang w:eastAsia="et-EE"/>
              </w:rPr>
              <w:t>1</w:t>
            </w:r>
          </w:p>
        </w:tc>
        <w:tc>
          <w:tcPr>
            <w:tcW w:w="1843" w:type="dxa"/>
            <w:tcBorders>
              <w:top w:val="nil"/>
              <w:left w:val="nil"/>
              <w:bottom w:val="single" w:sz="4" w:space="0" w:color="auto"/>
              <w:right w:val="single" w:sz="4" w:space="0" w:color="auto"/>
            </w:tcBorders>
            <w:shd w:val="clear" w:color="auto" w:fill="auto"/>
            <w:noWrap/>
            <w:vAlign w:val="bottom"/>
            <w:hideMark/>
          </w:tcPr>
          <w:p w:rsidR="0055209F" w:rsidRPr="00084701" w:rsidRDefault="0055209F" w:rsidP="0055209F">
            <w:pPr>
              <w:spacing w:after="0" w:line="240" w:lineRule="auto"/>
              <w:jc w:val="right"/>
              <w:rPr>
                <w:rFonts w:asciiTheme="majorHAnsi" w:eastAsia="Times New Roman" w:hAnsiTheme="majorHAnsi" w:cstheme="majorHAnsi"/>
                <w:color w:val="000000"/>
                <w:lang w:eastAsia="et-EE"/>
              </w:rPr>
            </w:pPr>
            <w:r w:rsidRPr="00084701">
              <w:rPr>
                <w:rFonts w:asciiTheme="majorHAnsi" w:eastAsia="Times New Roman" w:hAnsiTheme="majorHAnsi" w:cstheme="majorHAnsi"/>
                <w:color w:val="000000"/>
                <w:lang w:eastAsia="et-EE"/>
              </w:rPr>
              <w:t>794 500,00</w:t>
            </w:r>
          </w:p>
        </w:tc>
      </w:tr>
      <w:tr w:rsidR="0055209F" w:rsidRPr="00084701" w:rsidTr="00DA609A">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rsidR="0055209F" w:rsidRPr="00084701" w:rsidRDefault="0055209F" w:rsidP="0055209F">
            <w:pPr>
              <w:spacing w:after="0" w:line="240" w:lineRule="auto"/>
              <w:rPr>
                <w:rFonts w:asciiTheme="majorHAnsi" w:eastAsia="Times New Roman" w:hAnsiTheme="majorHAnsi" w:cstheme="majorHAnsi"/>
                <w:color w:val="000000"/>
                <w:lang w:eastAsia="et-EE"/>
              </w:rPr>
            </w:pPr>
            <w:r w:rsidRPr="00084701">
              <w:rPr>
                <w:rFonts w:asciiTheme="majorHAnsi" w:eastAsia="Times New Roman" w:hAnsiTheme="majorHAnsi" w:cstheme="majorHAnsi"/>
                <w:color w:val="000000"/>
                <w:lang w:eastAsia="et-EE"/>
              </w:rPr>
              <w:t>Estonian Business School (SA Estonian Business School)</w:t>
            </w:r>
          </w:p>
        </w:tc>
        <w:tc>
          <w:tcPr>
            <w:tcW w:w="1421" w:type="dxa"/>
            <w:tcBorders>
              <w:top w:val="nil"/>
              <w:left w:val="nil"/>
              <w:bottom w:val="single" w:sz="4" w:space="0" w:color="auto"/>
              <w:right w:val="single" w:sz="4" w:space="0" w:color="auto"/>
            </w:tcBorders>
            <w:shd w:val="clear" w:color="auto" w:fill="auto"/>
            <w:noWrap/>
            <w:vAlign w:val="bottom"/>
            <w:hideMark/>
          </w:tcPr>
          <w:p w:rsidR="0055209F" w:rsidRPr="00084701" w:rsidRDefault="0055209F" w:rsidP="0055209F">
            <w:pPr>
              <w:spacing w:after="0" w:line="240" w:lineRule="auto"/>
              <w:jc w:val="right"/>
              <w:rPr>
                <w:rFonts w:asciiTheme="majorHAnsi" w:eastAsia="Times New Roman" w:hAnsiTheme="majorHAnsi" w:cstheme="majorHAnsi"/>
                <w:color w:val="000000"/>
                <w:lang w:eastAsia="et-EE"/>
              </w:rPr>
            </w:pPr>
            <w:r w:rsidRPr="00084701">
              <w:rPr>
                <w:rFonts w:asciiTheme="majorHAnsi" w:eastAsia="Times New Roman" w:hAnsiTheme="majorHAnsi" w:cstheme="majorHAnsi"/>
                <w:color w:val="000000"/>
                <w:lang w:eastAsia="et-EE"/>
              </w:rPr>
              <w:t>1</w:t>
            </w:r>
          </w:p>
        </w:tc>
        <w:tc>
          <w:tcPr>
            <w:tcW w:w="1843" w:type="dxa"/>
            <w:tcBorders>
              <w:top w:val="nil"/>
              <w:left w:val="nil"/>
              <w:bottom w:val="single" w:sz="4" w:space="0" w:color="auto"/>
              <w:right w:val="single" w:sz="4" w:space="0" w:color="auto"/>
            </w:tcBorders>
            <w:shd w:val="clear" w:color="auto" w:fill="auto"/>
            <w:noWrap/>
            <w:vAlign w:val="bottom"/>
            <w:hideMark/>
          </w:tcPr>
          <w:p w:rsidR="0055209F" w:rsidRPr="00084701" w:rsidRDefault="0055209F" w:rsidP="0055209F">
            <w:pPr>
              <w:spacing w:after="0" w:line="240" w:lineRule="auto"/>
              <w:jc w:val="right"/>
              <w:rPr>
                <w:rFonts w:asciiTheme="majorHAnsi" w:eastAsia="Times New Roman" w:hAnsiTheme="majorHAnsi" w:cstheme="majorHAnsi"/>
                <w:color w:val="000000"/>
                <w:lang w:eastAsia="et-EE"/>
              </w:rPr>
            </w:pPr>
            <w:r w:rsidRPr="00084701">
              <w:rPr>
                <w:rFonts w:asciiTheme="majorHAnsi" w:eastAsia="Times New Roman" w:hAnsiTheme="majorHAnsi" w:cstheme="majorHAnsi"/>
                <w:color w:val="000000"/>
                <w:lang w:eastAsia="et-EE"/>
              </w:rPr>
              <w:t>697 862,35</w:t>
            </w:r>
          </w:p>
        </w:tc>
      </w:tr>
      <w:tr w:rsidR="0055209F" w:rsidRPr="00084701" w:rsidTr="00DA609A">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rsidR="0055209F" w:rsidRPr="00084701" w:rsidRDefault="0055209F" w:rsidP="0055209F">
            <w:pPr>
              <w:spacing w:after="0" w:line="240" w:lineRule="auto"/>
              <w:rPr>
                <w:rFonts w:asciiTheme="majorHAnsi" w:eastAsia="Times New Roman" w:hAnsiTheme="majorHAnsi" w:cstheme="majorHAnsi"/>
                <w:color w:val="000000"/>
                <w:lang w:eastAsia="et-EE"/>
              </w:rPr>
            </w:pPr>
            <w:r w:rsidRPr="00084701">
              <w:rPr>
                <w:rFonts w:asciiTheme="majorHAnsi" w:eastAsia="Times New Roman" w:hAnsiTheme="majorHAnsi" w:cstheme="majorHAnsi"/>
                <w:color w:val="000000"/>
                <w:lang w:eastAsia="et-EE"/>
              </w:rPr>
              <w:t>SA Tartu Ülikooli Kliinikum</w:t>
            </w:r>
          </w:p>
        </w:tc>
        <w:tc>
          <w:tcPr>
            <w:tcW w:w="1421" w:type="dxa"/>
            <w:tcBorders>
              <w:top w:val="nil"/>
              <w:left w:val="nil"/>
              <w:bottom w:val="single" w:sz="4" w:space="0" w:color="auto"/>
              <w:right w:val="single" w:sz="4" w:space="0" w:color="auto"/>
            </w:tcBorders>
            <w:shd w:val="clear" w:color="auto" w:fill="auto"/>
            <w:noWrap/>
            <w:vAlign w:val="bottom"/>
            <w:hideMark/>
          </w:tcPr>
          <w:p w:rsidR="0055209F" w:rsidRPr="00084701" w:rsidRDefault="0055209F" w:rsidP="0055209F">
            <w:pPr>
              <w:spacing w:after="0" w:line="240" w:lineRule="auto"/>
              <w:jc w:val="right"/>
              <w:rPr>
                <w:rFonts w:asciiTheme="majorHAnsi" w:eastAsia="Times New Roman" w:hAnsiTheme="majorHAnsi" w:cstheme="majorHAnsi"/>
                <w:color w:val="000000"/>
                <w:lang w:eastAsia="et-EE"/>
              </w:rPr>
            </w:pPr>
            <w:r w:rsidRPr="00084701">
              <w:rPr>
                <w:rFonts w:asciiTheme="majorHAnsi" w:eastAsia="Times New Roman" w:hAnsiTheme="majorHAnsi" w:cstheme="majorHAnsi"/>
                <w:color w:val="000000"/>
                <w:lang w:eastAsia="et-EE"/>
              </w:rPr>
              <w:t>1</w:t>
            </w:r>
          </w:p>
        </w:tc>
        <w:tc>
          <w:tcPr>
            <w:tcW w:w="1843" w:type="dxa"/>
            <w:tcBorders>
              <w:top w:val="nil"/>
              <w:left w:val="nil"/>
              <w:bottom w:val="single" w:sz="4" w:space="0" w:color="auto"/>
              <w:right w:val="single" w:sz="4" w:space="0" w:color="auto"/>
            </w:tcBorders>
            <w:shd w:val="clear" w:color="auto" w:fill="auto"/>
            <w:noWrap/>
            <w:vAlign w:val="bottom"/>
            <w:hideMark/>
          </w:tcPr>
          <w:p w:rsidR="0055209F" w:rsidRPr="00084701" w:rsidRDefault="0055209F" w:rsidP="0055209F">
            <w:pPr>
              <w:spacing w:after="0" w:line="240" w:lineRule="auto"/>
              <w:jc w:val="right"/>
              <w:rPr>
                <w:rFonts w:asciiTheme="majorHAnsi" w:eastAsia="Times New Roman" w:hAnsiTheme="majorHAnsi" w:cstheme="majorHAnsi"/>
                <w:color w:val="000000"/>
                <w:lang w:eastAsia="et-EE"/>
              </w:rPr>
            </w:pPr>
            <w:r w:rsidRPr="00084701">
              <w:rPr>
                <w:rFonts w:asciiTheme="majorHAnsi" w:eastAsia="Times New Roman" w:hAnsiTheme="majorHAnsi" w:cstheme="majorHAnsi"/>
                <w:color w:val="000000"/>
                <w:lang w:eastAsia="et-EE"/>
              </w:rPr>
              <w:t>800 000,00</w:t>
            </w:r>
          </w:p>
        </w:tc>
      </w:tr>
      <w:tr w:rsidR="0055209F" w:rsidRPr="00084701" w:rsidTr="00DA609A">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rsidR="0055209F" w:rsidRPr="00084701" w:rsidRDefault="0055209F" w:rsidP="0055209F">
            <w:pPr>
              <w:spacing w:after="0" w:line="240" w:lineRule="auto"/>
              <w:jc w:val="right"/>
              <w:rPr>
                <w:rFonts w:asciiTheme="majorHAnsi" w:eastAsia="Times New Roman" w:hAnsiTheme="majorHAnsi" w:cstheme="majorHAnsi"/>
                <w:b/>
                <w:bCs/>
                <w:color w:val="000000"/>
                <w:lang w:eastAsia="et-EE"/>
              </w:rPr>
            </w:pPr>
            <w:r w:rsidRPr="00084701">
              <w:rPr>
                <w:rFonts w:asciiTheme="majorHAnsi" w:eastAsia="Times New Roman" w:hAnsiTheme="majorHAnsi" w:cstheme="majorHAnsi"/>
                <w:b/>
                <w:bCs/>
                <w:color w:val="000000"/>
                <w:lang w:eastAsia="et-EE"/>
              </w:rPr>
              <w:t>Kokku</w:t>
            </w:r>
          </w:p>
        </w:tc>
        <w:tc>
          <w:tcPr>
            <w:tcW w:w="1421" w:type="dxa"/>
            <w:tcBorders>
              <w:top w:val="nil"/>
              <w:left w:val="nil"/>
              <w:bottom w:val="single" w:sz="4" w:space="0" w:color="auto"/>
              <w:right w:val="single" w:sz="4" w:space="0" w:color="auto"/>
            </w:tcBorders>
            <w:shd w:val="clear" w:color="auto" w:fill="auto"/>
            <w:noWrap/>
            <w:vAlign w:val="bottom"/>
            <w:hideMark/>
          </w:tcPr>
          <w:p w:rsidR="0055209F" w:rsidRPr="00084701" w:rsidRDefault="0055209F" w:rsidP="0055209F">
            <w:pPr>
              <w:spacing w:after="0" w:line="240" w:lineRule="auto"/>
              <w:jc w:val="right"/>
              <w:rPr>
                <w:rFonts w:asciiTheme="majorHAnsi" w:eastAsia="Times New Roman" w:hAnsiTheme="majorHAnsi" w:cstheme="majorHAnsi"/>
                <w:b/>
                <w:bCs/>
                <w:color w:val="000000"/>
                <w:lang w:eastAsia="et-EE"/>
              </w:rPr>
            </w:pPr>
            <w:r w:rsidRPr="00084701">
              <w:rPr>
                <w:rFonts w:asciiTheme="majorHAnsi" w:eastAsia="Times New Roman" w:hAnsiTheme="majorHAnsi" w:cstheme="majorHAnsi"/>
                <w:b/>
                <w:bCs/>
                <w:color w:val="000000"/>
                <w:lang w:eastAsia="et-EE"/>
              </w:rPr>
              <w:t>130</w:t>
            </w:r>
          </w:p>
        </w:tc>
        <w:tc>
          <w:tcPr>
            <w:tcW w:w="1843" w:type="dxa"/>
            <w:tcBorders>
              <w:top w:val="nil"/>
              <w:left w:val="nil"/>
              <w:bottom w:val="single" w:sz="4" w:space="0" w:color="auto"/>
              <w:right w:val="single" w:sz="4" w:space="0" w:color="auto"/>
            </w:tcBorders>
            <w:shd w:val="clear" w:color="auto" w:fill="auto"/>
            <w:noWrap/>
            <w:vAlign w:val="bottom"/>
            <w:hideMark/>
          </w:tcPr>
          <w:p w:rsidR="0055209F" w:rsidRPr="00084701" w:rsidRDefault="0055209F" w:rsidP="0055209F">
            <w:pPr>
              <w:spacing w:after="0" w:line="240" w:lineRule="auto"/>
              <w:jc w:val="right"/>
              <w:rPr>
                <w:rFonts w:asciiTheme="majorHAnsi" w:eastAsia="Times New Roman" w:hAnsiTheme="majorHAnsi" w:cstheme="majorHAnsi"/>
                <w:b/>
                <w:bCs/>
                <w:color w:val="000000"/>
                <w:lang w:eastAsia="et-EE"/>
              </w:rPr>
            </w:pPr>
            <w:r w:rsidRPr="00084701">
              <w:rPr>
                <w:rFonts w:asciiTheme="majorHAnsi" w:eastAsia="Times New Roman" w:hAnsiTheme="majorHAnsi" w:cstheme="majorHAnsi"/>
                <w:b/>
                <w:bCs/>
                <w:color w:val="000000"/>
                <w:lang w:eastAsia="et-EE"/>
              </w:rPr>
              <w:t>114 542 041,74</w:t>
            </w:r>
          </w:p>
        </w:tc>
      </w:tr>
    </w:tbl>
    <w:p w:rsidR="00DA609A" w:rsidRPr="00084701" w:rsidRDefault="00DA609A" w:rsidP="00DA609A">
      <w:pPr>
        <w:spacing w:after="0"/>
        <w:rPr>
          <w:rFonts w:asciiTheme="majorHAnsi" w:hAnsiTheme="majorHAnsi" w:cstheme="majorHAnsi"/>
        </w:rPr>
      </w:pPr>
    </w:p>
    <w:p w:rsidR="00B51277" w:rsidRPr="00084701" w:rsidRDefault="00B51277" w:rsidP="0055209F">
      <w:pPr>
        <w:rPr>
          <w:rFonts w:asciiTheme="majorHAnsi" w:hAnsiTheme="majorHAnsi" w:cstheme="majorHAnsi"/>
        </w:rPr>
      </w:pPr>
      <w:r w:rsidRPr="00084701">
        <w:rPr>
          <w:rFonts w:asciiTheme="majorHAnsi" w:hAnsiTheme="majorHAnsi" w:cstheme="majorHAnsi"/>
        </w:rPr>
        <w:t>46% taotlustes</w:t>
      </w:r>
      <w:r w:rsidR="00682153">
        <w:rPr>
          <w:rFonts w:asciiTheme="majorHAnsi" w:hAnsiTheme="majorHAnsi" w:cstheme="majorHAnsi"/>
        </w:rPr>
        <w:t>t laekus TÜ teadlastelt, 32% TalTech</w:t>
      </w:r>
      <w:r w:rsidRPr="00084701">
        <w:rPr>
          <w:rFonts w:asciiTheme="majorHAnsi" w:hAnsiTheme="majorHAnsi" w:cstheme="majorHAnsi"/>
        </w:rPr>
        <w:t xml:space="preserve"> teadlastelt, 6% EMÜ, 6% TLÜ ning ülejäänud 10% taotlustest teiste asutuste teadlastelt.</w:t>
      </w:r>
    </w:p>
    <w:p w:rsidR="00B51277" w:rsidRPr="00084701" w:rsidRDefault="00EE4BB7" w:rsidP="0055209F">
      <w:pPr>
        <w:rPr>
          <w:rFonts w:asciiTheme="majorHAnsi" w:hAnsiTheme="majorHAnsi" w:cstheme="majorHAnsi"/>
        </w:rPr>
      </w:pPr>
      <w:r w:rsidRPr="00084701">
        <w:rPr>
          <w:rFonts w:asciiTheme="majorHAnsi" w:hAnsiTheme="majorHAnsi" w:cstheme="majorHAnsi"/>
        </w:rPr>
        <w:t xml:space="preserve">Kõige väiksem taotluse summa voorus on 399 375 eurot, kõige suurem 1 127 500 eurot, </w:t>
      </w:r>
      <w:r w:rsidRPr="00084701">
        <w:rPr>
          <w:rFonts w:asciiTheme="majorHAnsi" w:hAnsiTheme="majorHAnsi" w:cstheme="majorHAnsi"/>
          <w:b/>
        </w:rPr>
        <w:t>keskmine taotletav summa on 881 093 eurot</w:t>
      </w:r>
      <w:r w:rsidRPr="00084701">
        <w:rPr>
          <w:rFonts w:asciiTheme="majorHAnsi" w:hAnsiTheme="majorHAnsi" w:cstheme="majorHAnsi"/>
        </w:rPr>
        <w:t>.</w:t>
      </w:r>
    </w:p>
    <w:p w:rsidR="00E81732" w:rsidRPr="00084701" w:rsidRDefault="00E81732" w:rsidP="00DA609A">
      <w:pPr>
        <w:spacing w:after="0"/>
        <w:rPr>
          <w:rFonts w:asciiTheme="majorHAnsi" w:hAnsiTheme="majorHAnsi" w:cstheme="majorHAnsi"/>
        </w:rPr>
        <w:sectPr w:rsidR="00E81732" w:rsidRPr="00084701">
          <w:footerReference w:type="default" r:id="rId6"/>
          <w:pgSz w:w="11906" w:h="16838"/>
          <w:pgMar w:top="1417" w:right="1417" w:bottom="1417" w:left="1417" w:header="708" w:footer="708" w:gutter="0"/>
          <w:cols w:space="708"/>
          <w:docGrid w:linePitch="360"/>
        </w:sectPr>
      </w:pPr>
      <w:r w:rsidRPr="00084701">
        <w:rPr>
          <w:rFonts w:asciiTheme="majorHAnsi" w:hAnsiTheme="majorHAnsi" w:cstheme="majorHAnsi"/>
        </w:rPr>
        <w:t>Tabel 2. Taotluste arv projekti kestvuse järgi</w:t>
      </w:r>
    </w:p>
    <w:tbl>
      <w:tblPr>
        <w:tblW w:w="4673" w:type="dxa"/>
        <w:tblCellMar>
          <w:left w:w="70" w:type="dxa"/>
          <w:right w:w="70" w:type="dxa"/>
        </w:tblCellMar>
        <w:tblLook w:val="04A0" w:firstRow="1" w:lastRow="0" w:firstColumn="1" w:lastColumn="0" w:noHBand="0" w:noVBand="1"/>
      </w:tblPr>
      <w:tblGrid>
        <w:gridCol w:w="3266"/>
        <w:gridCol w:w="1407"/>
      </w:tblGrid>
      <w:tr w:rsidR="00E81732" w:rsidRPr="00084701" w:rsidTr="009622EC">
        <w:trPr>
          <w:trHeight w:val="283"/>
        </w:trPr>
        <w:tc>
          <w:tcPr>
            <w:tcW w:w="3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1732" w:rsidRPr="00084701" w:rsidRDefault="00E81732" w:rsidP="00E81732">
            <w:pPr>
              <w:spacing w:after="0" w:line="240" w:lineRule="auto"/>
              <w:rPr>
                <w:rFonts w:asciiTheme="majorHAnsi" w:eastAsia="Times New Roman" w:hAnsiTheme="majorHAnsi" w:cstheme="majorHAnsi"/>
                <w:b/>
                <w:color w:val="000000"/>
                <w:lang w:eastAsia="et-EE"/>
              </w:rPr>
            </w:pPr>
            <w:r w:rsidRPr="00084701">
              <w:rPr>
                <w:rFonts w:asciiTheme="majorHAnsi" w:eastAsia="Times New Roman" w:hAnsiTheme="majorHAnsi" w:cstheme="majorHAnsi"/>
                <w:b/>
                <w:color w:val="000000"/>
                <w:lang w:eastAsia="et-EE"/>
              </w:rPr>
              <w:t>Projekti kestvus</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rsidR="00E81732" w:rsidRPr="00084701" w:rsidRDefault="00E81732" w:rsidP="00E81732">
            <w:pPr>
              <w:spacing w:after="0" w:line="240" w:lineRule="auto"/>
              <w:rPr>
                <w:rFonts w:asciiTheme="majorHAnsi" w:eastAsia="Times New Roman" w:hAnsiTheme="majorHAnsi" w:cstheme="majorHAnsi"/>
                <w:b/>
                <w:color w:val="000000"/>
                <w:lang w:eastAsia="et-EE"/>
              </w:rPr>
            </w:pPr>
            <w:r w:rsidRPr="00084701">
              <w:rPr>
                <w:rFonts w:asciiTheme="majorHAnsi" w:eastAsia="Times New Roman" w:hAnsiTheme="majorHAnsi" w:cstheme="majorHAnsi"/>
                <w:b/>
                <w:color w:val="000000"/>
                <w:lang w:eastAsia="et-EE"/>
              </w:rPr>
              <w:t>Taotluste arv</w:t>
            </w:r>
          </w:p>
        </w:tc>
      </w:tr>
      <w:tr w:rsidR="00E81732" w:rsidRPr="00084701" w:rsidTr="009622EC">
        <w:trPr>
          <w:trHeight w:val="283"/>
        </w:trPr>
        <w:tc>
          <w:tcPr>
            <w:tcW w:w="3266" w:type="dxa"/>
            <w:tcBorders>
              <w:top w:val="nil"/>
              <w:left w:val="single" w:sz="4" w:space="0" w:color="auto"/>
              <w:bottom w:val="single" w:sz="4" w:space="0" w:color="auto"/>
              <w:right w:val="single" w:sz="4" w:space="0" w:color="auto"/>
            </w:tcBorders>
            <w:shd w:val="clear" w:color="auto" w:fill="auto"/>
            <w:noWrap/>
            <w:vAlign w:val="bottom"/>
            <w:hideMark/>
          </w:tcPr>
          <w:p w:rsidR="00E81732" w:rsidRPr="00084701" w:rsidRDefault="00E81732" w:rsidP="00E81732">
            <w:pPr>
              <w:spacing w:after="0" w:line="240" w:lineRule="auto"/>
              <w:jc w:val="right"/>
              <w:rPr>
                <w:rFonts w:asciiTheme="majorHAnsi" w:eastAsia="Times New Roman" w:hAnsiTheme="majorHAnsi" w:cstheme="majorHAnsi"/>
                <w:color w:val="000000"/>
                <w:lang w:eastAsia="et-EE"/>
              </w:rPr>
            </w:pPr>
            <w:r w:rsidRPr="00084701">
              <w:rPr>
                <w:rFonts w:asciiTheme="majorHAnsi" w:eastAsia="Times New Roman" w:hAnsiTheme="majorHAnsi" w:cstheme="majorHAnsi"/>
                <w:color w:val="000000"/>
                <w:lang w:eastAsia="et-EE"/>
              </w:rPr>
              <w:t>2 aastat</w:t>
            </w:r>
          </w:p>
        </w:tc>
        <w:tc>
          <w:tcPr>
            <w:tcW w:w="1407" w:type="dxa"/>
            <w:tcBorders>
              <w:top w:val="nil"/>
              <w:left w:val="nil"/>
              <w:bottom w:val="single" w:sz="4" w:space="0" w:color="auto"/>
              <w:right w:val="single" w:sz="4" w:space="0" w:color="auto"/>
            </w:tcBorders>
            <w:shd w:val="clear" w:color="auto" w:fill="auto"/>
            <w:noWrap/>
            <w:vAlign w:val="bottom"/>
            <w:hideMark/>
          </w:tcPr>
          <w:p w:rsidR="00E81732" w:rsidRPr="00084701" w:rsidRDefault="00E81732" w:rsidP="00E81732">
            <w:pPr>
              <w:spacing w:after="0" w:line="240" w:lineRule="auto"/>
              <w:jc w:val="right"/>
              <w:rPr>
                <w:rFonts w:asciiTheme="majorHAnsi" w:eastAsia="Times New Roman" w:hAnsiTheme="majorHAnsi" w:cstheme="majorHAnsi"/>
                <w:color w:val="000000"/>
                <w:lang w:eastAsia="et-EE"/>
              </w:rPr>
            </w:pPr>
            <w:r w:rsidRPr="00084701">
              <w:rPr>
                <w:rFonts w:asciiTheme="majorHAnsi" w:eastAsia="Times New Roman" w:hAnsiTheme="majorHAnsi" w:cstheme="majorHAnsi"/>
                <w:color w:val="000000"/>
                <w:lang w:eastAsia="et-EE"/>
              </w:rPr>
              <w:t>1</w:t>
            </w:r>
          </w:p>
        </w:tc>
      </w:tr>
      <w:tr w:rsidR="00E81732" w:rsidRPr="00084701" w:rsidTr="009622EC">
        <w:trPr>
          <w:trHeight w:val="283"/>
        </w:trPr>
        <w:tc>
          <w:tcPr>
            <w:tcW w:w="3266" w:type="dxa"/>
            <w:tcBorders>
              <w:top w:val="nil"/>
              <w:left w:val="single" w:sz="4" w:space="0" w:color="auto"/>
              <w:bottom w:val="single" w:sz="4" w:space="0" w:color="auto"/>
              <w:right w:val="single" w:sz="4" w:space="0" w:color="auto"/>
            </w:tcBorders>
            <w:shd w:val="clear" w:color="auto" w:fill="auto"/>
            <w:noWrap/>
            <w:vAlign w:val="bottom"/>
            <w:hideMark/>
          </w:tcPr>
          <w:p w:rsidR="00E81732" w:rsidRPr="00084701" w:rsidRDefault="00E81732" w:rsidP="00E81732">
            <w:pPr>
              <w:spacing w:after="0" w:line="240" w:lineRule="auto"/>
              <w:jc w:val="right"/>
              <w:rPr>
                <w:rFonts w:asciiTheme="majorHAnsi" w:eastAsia="Times New Roman" w:hAnsiTheme="majorHAnsi" w:cstheme="majorHAnsi"/>
                <w:color w:val="000000"/>
                <w:lang w:eastAsia="et-EE"/>
              </w:rPr>
            </w:pPr>
            <w:r w:rsidRPr="00084701">
              <w:rPr>
                <w:rFonts w:asciiTheme="majorHAnsi" w:eastAsia="Times New Roman" w:hAnsiTheme="majorHAnsi" w:cstheme="majorHAnsi"/>
                <w:color w:val="000000"/>
                <w:lang w:eastAsia="et-EE"/>
              </w:rPr>
              <w:t>3 aastat</w:t>
            </w:r>
          </w:p>
        </w:tc>
        <w:tc>
          <w:tcPr>
            <w:tcW w:w="1407" w:type="dxa"/>
            <w:tcBorders>
              <w:top w:val="nil"/>
              <w:left w:val="nil"/>
              <w:bottom w:val="single" w:sz="4" w:space="0" w:color="auto"/>
              <w:right w:val="single" w:sz="4" w:space="0" w:color="auto"/>
            </w:tcBorders>
            <w:shd w:val="clear" w:color="auto" w:fill="auto"/>
            <w:noWrap/>
            <w:vAlign w:val="bottom"/>
            <w:hideMark/>
          </w:tcPr>
          <w:p w:rsidR="00E81732" w:rsidRPr="00084701" w:rsidRDefault="00E81732" w:rsidP="00E81732">
            <w:pPr>
              <w:spacing w:after="0" w:line="240" w:lineRule="auto"/>
              <w:jc w:val="right"/>
              <w:rPr>
                <w:rFonts w:asciiTheme="majorHAnsi" w:eastAsia="Times New Roman" w:hAnsiTheme="majorHAnsi" w:cstheme="majorHAnsi"/>
                <w:color w:val="000000"/>
                <w:lang w:eastAsia="et-EE"/>
              </w:rPr>
            </w:pPr>
            <w:r w:rsidRPr="00084701">
              <w:rPr>
                <w:rFonts w:asciiTheme="majorHAnsi" w:eastAsia="Times New Roman" w:hAnsiTheme="majorHAnsi" w:cstheme="majorHAnsi"/>
                <w:color w:val="000000"/>
                <w:lang w:eastAsia="et-EE"/>
              </w:rPr>
              <w:t>48</w:t>
            </w:r>
          </w:p>
        </w:tc>
      </w:tr>
      <w:tr w:rsidR="00E81732" w:rsidRPr="00084701" w:rsidTr="009622EC">
        <w:trPr>
          <w:trHeight w:val="283"/>
        </w:trPr>
        <w:tc>
          <w:tcPr>
            <w:tcW w:w="3266" w:type="dxa"/>
            <w:tcBorders>
              <w:top w:val="nil"/>
              <w:left w:val="single" w:sz="4" w:space="0" w:color="auto"/>
              <w:bottom w:val="single" w:sz="4" w:space="0" w:color="auto"/>
              <w:right w:val="single" w:sz="4" w:space="0" w:color="auto"/>
            </w:tcBorders>
            <w:shd w:val="clear" w:color="auto" w:fill="auto"/>
            <w:noWrap/>
            <w:vAlign w:val="bottom"/>
            <w:hideMark/>
          </w:tcPr>
          <w:p w:rsidR="00E81732" w:rsidRPr="00084701" w:rsidRDefault="00E81732" w:rsidP="00E81732">
            <w:pPr>
              <w:spacing w:after="0" w:line="240" w:lineRule="auto"/>
              <w:jc w:val="right"/>
              <w:rPr>
                <w:rFonts w:asciiTheme="majorHAnsi" w:eastAsia="Times New Roman" w:hAnsiTheme="majorHAnsi" w:cstheme="majorHAnsi"/>
                <w:color w:val="000000"/>
                <w:lang w:eastAsia="et-EE"/>
              </w:rPr>
            </w:pPr>
            <w:r w:rsidRPr="00084701">
              <w:rPr>
                <w:rFonts w:asciiTheme="majorHAnsi" w:eastAsia="Times New Roman" w:hAnsiTheme="majorHAnsi" w:cstheme="majorHAnsi"/>
                <w:color w:val="000000"/>
                <w:lang w:eastAsia="et-EE"/>
              </w:rPr>
              <w:t>3 aastat 1 kuu - 3 aastat 4 kuud</w:t>
            </w:r>
          </w:p>
        </w:tc>
        <w:tc>
          <w:tcPr>
            <w:tcW w:w="1407" w:type="dxa"/>
            <w:tcBorders>
              <w:top w:val="nil"/>
              <w:left w:val="nil"/>
              <w:bottom w:val="single" w:sz="4" w:space="0" w:color="auto"/>
              <w:right w:val="single" w:sz="4" w:space="0" w:color="auto"/>
            </w:tcBorders>
            <w:shd w:val="clear" w:color="auto" w:fill="auto"/>
            <w:noWrap/>
            <w:vAlign w:val="bottom"/>
            <w:hideMark/>
          </w:tcPr>
          <w:p w:rsidR="00E81732" w:rsidRPr="00084701" w:rsidRDefault="00E81732" w:rsidP="00E81732">
            <w:pPr>
              <w:spacing w:after="0" w:line="240" w:lineRule="auto"/>
              <w:jc w:val="right"/>
              <w:rPr>
                <w:rFonts w:asciiTheme="majorHAnsi" w:eastAsia="Times New Roman" w:hAnsiTheme="majorHAnsi" w:cstheme="majorHAnsi"/>
                <w:color w:val="000000"/>
                <w:lang w:eastAsia="et-EE"/>
              </w:rPr>
            </w:pPr>
            <w:r w:rsidRPr="00084701">
              <w:rPr>
                <w:rFonts w:asciiTheme="majorHAnsi" w:eastAsia="Times New Roman" w:hAnsiTheme="majorHAnsi" w:cstheme="majorHAnsi"/>
                <w:color w:val="000000"/>
                <w:lang w:eastAsia="et-EE"/>
              </w:rPr>
              <w:t>8</w:t>
            </w:r>
          </w:p>
        </w:tc>
      </w:tr>
      <w:tr w:rsidR="00E81732" w:rsidRPr="00084701" w:rsidTr="009622EC">
        <w:trPr>
          <w:trHeight w:val="283"/>
        </w:trPr>
        <w:tc>
          <w:tcPr>
            <w:tcW w:w="3266" w:type="dxa"/>
            <w:tcBorders>
              <w:top w:val="nil"/>
              <w:left w:val="single" w:sz="4" w:space="0" w:color="auto"/>
              <w:bottom w:val="single" w:sz="4" w:space="0" w:color="auto"/>
              <w:right w:val="single" w:sz="4" w:space="0" w:color="auto"/>
            </w:tcBorders>
            <w:shd w:val="clear" w:color="auto" w:fill="auto"/>
            <w:noWrap/>
            <w:vAlign w:val="bottom"/>
            <w:hideMark/>
          </w:tcPr>
          <w:p w:rsidR="00E81732" w:rsidRPr="00084701" w:rsidRDefault="00E81732" w:rsidP="00E81732">
            <w:pPr>
              <w:spacing w:after="0" w:line="240" w:lineRule="auto"/>
              <w:jc w:val="right"/>
              <w:rPr>
                <w:rFonts w:asciiTheme="majorHAnsi" w:eastAsia="Times New Roman" w:hAnsiTheme="majorHAnsi" w:cstheme="majorHAnsi"/>
                <w:color w:val="000000"/>
                <w:lang w:eastAsia="et-EE"/>
              </w:rPr>
            </w:pPr>
            <w:r w:rsidRPr="00084701">
              <w:rPr>
                <w:rFonts w:asciiTheme="majorHAnsi" w:eastAsia="Times New Roman" w:hAnsiTheme="majorHAnsi" w:cstheme="majorHAnsi"/>
                <w:color w:val="000000"/>
                <w:lang w:eastAsia="et-EE"/>
              </w:rPr>
              <w:t>3 aastat 6 kuud - 3 aastat 11 kuud</w:t>
            </w:r>
          </w:p>
        </w:tc>
        <w:tc>
          <w:tcPr>
            <w:tcW w:w="1407" w:type="dxa"/>
            <w:tcBorders>
              <w:top w:val="nil"/>
              <w:left w:val="nil"/>
              <w:bottom w:val="single" w:sz="4" w:space="0" w:color="auto"/>
              <w:right w:val="single" w:sz="4" w:space="0" w:color="auto"/>
            </w:tcBorders>
            <w:shd w:val="clear" w:color="auto" w:fill="auto"/>
            <w:noWrap/>
            <w:vAlign w:val="bottom"/>
            <w:hideMark/>
          </w:tcPr>
          <w:p w:rsidR="00E81732" w:rsidRPr="00084701" w:rsidRDefault="00E81732" w:rsidP="00E81732">
            <w:pPr>
              <w:spacing w:after="0" w:line="240" w:lineRule="auto"/>
              <w:jc w:val="right"/>
              <w:rPr>
                <w:rFonts w:asciiTheme="majorHAnsi" w:eastAsia="Times New Roman" w:hAnsiTheme="majorHAnsi" w:cstheme="majorHAnsi"/>
                <w:color w:val="000000"/>
                <w:lang w:eastAsia="et-EE"/>
              </w:rPr>
            </w:pPr>
            <w:r w:rsidRPr="00084701">
              <w:rPr>
                <w:rFonts w:asciiTheme="majorHAnsi" w:eastAsia="Times New Roman" w:hAnsiTheme="majorHAnsi" w:cstheme="majorHAnsi"/>
                <w:color w:val="000000"/>
                <w:lang w:eastAsia="et-EE"/>
              </w:rPr>
              <w:t>13</w:t>
            </w:r>
          </w:p>
        </w:tc>
      </w:tr>
      <w:tr w:rsidR="00E81732" w:rsidRPr="00084701" w:rsidTr="009622EC">
        <w:trPr>
          <w:trHeight w:val="283"/>
        </w:trPr>
        <w:tc>
          <w:tcPr>
            <w:tcW w:w="3266" w:type="dxa"/>
            <w:tcBorders>
              <w:top w:val="nil"/>
              <w:left w:val="single" w:sz="4" w:space="0" w:color="auto"/>
              <w:bottom w:val="single" w:sz="4" w:space="0" w:color="auto"/>
              <w:right w:val="single" w:sz="4" w:space="0" w:color="auto"/>
            </w:tcBorders>
            <w:shd w:val="clear" w:color="auto" w:fill="auto"/>
            <w:noWrap/>
            <w:vAlign w:val="bottom"/>
            <w:hideMark/>
          </w:tcPr>
          <w:p w:rsidR="00E81732" w:rsidRPr="00084701" w:rsidRDefault="00E81732" w:rsidP="00E81732">
            <w:pPr>
              <w:spacing w:after="0" w:line="240" w:lineRule="auto"/>
              <w:jc w:val="right"/>
              <w:rPr>
                <w:rFonts w:asciiTheme="majorHAnsi" w:eastAsia="Times New Roman" w:hAnsiTheme="majorHAnsi" w:cstheme="majorHAnsi"/>
                <w:color w:val="000000"/>
                <w:lang w:eastAsia="et-EE"/>
              </w:rPr>
            </w:pPr>
            <w:r w:rsidRPr="00084701">
              <w:rPr>
                <w:rFonts w:asciiTheme="majorHAnsi" w:eastAsia="Times New Roman" w:hAnsiTheme="majorHAnsi" w:cstheme="majorHAnsi"/>
                <w:color w:val="000000"/>
                <w:lang w:eastAsia="et-EE"/>
              </w:rPr>
              <w:t>4 aastat</w:t>
            </w:r>
          </w:p>
        </w:tc>
        <w:tc>
          <w:tcPr>
            <w:tcW w:w="1407" w:type="dxa"/>
            <w:tcBorders>
              <w:top w:val="nil"/>
              <w:left w:val="nil"/>
              <w:bottom w:val="single" w:sz="4" w:space="0" w:color="auto"/>
              <w:right w:val="single" w:sz="4" w:space="0" w:color="auto"/>
            </w:tcBorders>
            <w:shd w:val="clear" w:color="auto" w:fill="auto"/>
            <w:noWrap/>
            <w:vAlign w:val="bottom"/>
            <w:hideMark/>
          </w:tcPr>
          <w:p w:rsidR="00E81732" w:rsidRPr="00084701" w:rsidRDefault="00E81732" w:rsidP="00E81732">
            <w:pPr>
              <w:spacing w:after="0" w:line="240" w:lineRule="auto"/>
              <w:jc w:val="right"/>
              <w:rPr>
                <w:rFonts w:asciiTheme="majorHAnsi" w:eastAsia="Times New Roman" w:hAnsiTheme="majorHAnsi" w:cstheme="majorHAnsi"/>
                <w:color w:val="000000"/>
                <w:lang w:eastAsia="et-EE"/>
              </w:rPr>
            </w:pPr>
            <w:r w:rsidRPr="00084701">
              <w:rPr>
                <w:rFonts w:asciiTheme="majorHAnsi" w:eastAsia="Times New Roman" w:hAnsiTheme="majorHAnsi" w:cstheme="majorHAnsi"/>
                <w:color w:val="000000"/>
                <w:lang w:eastAsia="et-EE"/>
              </w:rPr>
              <w:t>60</w:t>
            </w:r>
          </w:p>
        </w:tc>
      </w:tr>
      <w:tr w:rsidR="00E81732" w:rsidRPr="00084701" w:rsidTr="009622EC">
        <w:trPr>
          <w:trHeight w:val="283"/>
        </w:trPr>
        <w:tc>
          <w:tcPr>
            <w:tcW w:w="3266" w:type="dxa"/>
            <w:tcBorders>
              <w:top w:val="nil"/>
              <w:left w:val="single" w:sz="4" w:space="0" w:color="auto"/>
              <w:bottom w:val="single" w:sz="4" w:space="0" w:color="auto"/>
              <w:right w:val="single" w:sz="4" w:space="0" w:color="auto"/>
            </w:tcBorders>
            <w:shd w:val="clear" w:color="auto" w:fill="auto"/>
            <w:noWrap/>
            <w:vAlign w:val="bottom"/>
            <w:hideMark/>
          </w:tcPr>
          <w:p w:rsidR="00E81732" w:rsidRPr="00084701" w:rsidRDefault="00E81732" w:rsidP="00E81732">
            <w:pPr>
              <w:spacing w:after="0" w:line="240" w:lineRule="auto"/>
              <w:jc w:val="right"/>
              <w:rPr>
                <w:rFonts w:asciiTheme="majorHAnsi" w:eastAsia="Times New Roman" w:hAnsiTheme="majorHAnsi" w:cstheme="majorHAnsi"/>
                <w:b/>
                <w:color w:val="000000"/>
                <w:lang w:eastAsia="et-EE"/>
              </w:rPr>
            </w:pPr>
            <w:r w:rsidRPr="00084701">
              <w:rPr>
                <w:rFonts w:asciiTheme="majorHAnsi" w:eastAsia="Times New Roman" w:hAnsiTheme="majorHAnsi" w:cstheme="majorHAnsi"/>
                <w:b/>
                <w:color w:val="000000"/>
                <w:lang w:eastAsia="et-EE"/>
              </w:rPr>
              <w:t>Kokku</w:t>
            </w:r>
          </w:p>
        </w:tc>
        <w:tc>
          <w:tcPr>
            <w:tcW w:w="1407" w:type="dxa"/>
            <w:tcBorders>
              <w:top w:val="nil"/>
              <w:left w:val="nil"/>
              <w:bottom w:val="single" w:sz="4" w:space="0" w:color="auto"/>
              <w:right w:val="single" w:sz="4" w:space="0" w:color="auto"/>
            </w:tcBorders>
            <w:shd w:val="clear" w:color="auto" w:fill="auto"/>
            <w:noWrap/>
            <w:vAlign w:val="bottom"/>
            <w:hideMark/>
          </w:tcPr>
          <w:p w:rsidR="00E81732" w:rsidRPr="00084701" w:rsidRDefault="00E81732" w:rsidP="00E81732">
            <w:pPr>
              <w:spacing w:after="0" w:line="240" w:lineRule="auto"/>
              <w:jc w:val="right"/>
              <w:rPr>
                <w:rFonts w:asciiTheme="majorHAnsi" w:eastAsia="Times New Roman" w:hAnsiTheme="majorHAnsi" w:cstheme="majorHAnsi"/>
                <w:b/>
                <w:color w:val="000000"/>
                <w:lang w:eastAsia="et-EE"/>
              </w:rPr>
            </w:pPr>
            <w:r w:rsidRPr="00084701">
              <w:rPr>
                <w:rFonts w:asciiTheme="majorHAnsi" w:eastAsia="Times New Roman" w:hAnsiTheme="majorHAnsi" w:cstheme="majorHAnsi"/>
                <w:b/>
                <w:color w:val="000000"/>
                <w:lang w:eastAsia="et-EE"/>
              </w:rPr>
              <w:t>130</w:t>
            </w:r>
          </w:p>
        </w:tc>
      </w:tr>
    </w:tbl>
    <w:p w:rsidR="00E81732" w:rsidRPr="00084701" w:rsidRDefault="00E81732" w:rsidP="0055209F">
      <w:pPr>
        <w:rPr>
          <w:rFonts w:asciiTheme="majorHAnsi" w:hAnsiTheme="majorHAnsi" w:cstheme="majorHAnsi"/>
        </w:rPr>
      </w:pPr>
      <w:r w:rsidRPr="00084701">
        <w:rPr>
          <w:rFonts w:asciiTheme="majorHAnsi" w:hAnsiTheme="majorHAnsi" w:cstheme="majorHAnsi"/>
        </w:rPr>
        <w:t>Võib öelda, et vähem kui pool taotlejatest on toetust taotlenud pigem 3 aastaks, rohkem kui pool taotlejatest pigem umbes 4 aastaks.</w:t>
      </w:r>
    </w:p>
    <w:p w:rsidR="00FD01BD" w:rsidRPr="00084701" w:rsidRDefault="00FD01BD" w:rsidP="009622EC">
      <w:pPr>
        <w:spacing w:after="0"/>
        <w:rPr>
          <w:rFonts w:asciiTheme="majorHAnsi" w:hAnsiTheme="majorHAnsi" w:cstheme="majorHAnsi"/>
        </w:rPr>
        <w:sectPr w:rsidR="00FD01BD" w:rsidRPr="00084701" w:rsidSect="00DA609A">
          <w:type w:val="continuous"/>
          <w:pgSz w:w="11906" w:h="16838"/>
          <w:pgMar w:top="1417" w:right="1417" w:bottom="1417" w:left="1417" w:header="708" w:footer="708" w:gutter="0"/>
          <w:cols w:num="2" w:space="922" w:equalWidth="0">
            <w:col w:w="4196" w:space="922"/>
            <w:col w:w="3954"/>
          </w:cols>
          <w:docGrid w:linePitch="360"/>
        </w:sectPr>
      </w:pPr>
      <w:r w:rsidRPr="00084701">
        <w:rPr>
          <w:rFonts w:asciiTheme="majorHAnsi" w:hAnsiTheme="majorHAnsi" w:cstheme="majorHAnsi"/>
        </w:rPr>
        <w:t>2019. a sooviks alustada 91 projekti, 2020. a  39 projekti.</w:t>
      </w:r>
    </w:p>
    <w:p w:rsidR="00DA609A" w:rsidRPr="00084701" w:rsidRDefault="00DA609A" w:rsidP="009622EC">
      <w:pPr>
        <w:spacing w:after="0"/>
        <w:rPr>
          <w:rFonts w:asciiTheme="majorHAnsi" w:hAnsiTheme="majorHAnsi" w:cstheme="majorHAnsi"/>
        </w:rPr>
      </w:pPr>
      <w:r w:rsidRPr="00084701">
        <w:rPr>
          <w:rFonts w:asciiTheme="majorHAnsi" w:hAnsiTheme="majorHAnsi" w:cstheme="majorHAnsi"/>
          <w:noProof/>
          <w:lang w:eastAsia="et-EE"/>
        </w:rPr>
        <w:drawing>
          <wp:inline distT="0" distB="0" distL="0" distR="0" wp14:anchorId="42C13297" wp14:editId="1508EF1B">
            <wp:extent cx="2609850" cy="1565910"/>
            <wp:effectExtent l="0" t="0" r="0" b="0"/>
            <wp:docPr id="1"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084701">
        <w:rPr>
          <w:rFonts w:asciiTheme="majorHAnsi" w:hAnsiTheme="majorHAnsi" w:cstheme="majorHAnsi"/>
        </w:rPr>
        <w:t xml:space="preserve">Joonis 1. Nais- ja meessoost taotlejate </w:t>
      </w:r>
      <w:r w:rsidR="000A57DB">
        <w:rPr>
          <w:rFonts w:asciiTheme="majorHAnsi" w:hAnsiTheme="majorHAnsi" w:cstheme="majorHAnsi"/>
        </w:rPr>
        <w:t xml:space="preserve">(vastutavate täitjate) </w:t>
      </w:r>
      <w:r w:rsidRPr="00084701">
        <w:rPr>
          <w:rFonts w:asciiTheme="majorHAnsi" w:hAnsiTheme="majorHAnsi" w:cstheme="majorHAnsi"/>
        </w:rPr>
        <w:t>arv ning osakaal</w:t>
      </w:r>
    </w:p>
    <w:p w:rsidR="009622EC" w:rsidRPr="00084701" w:rsidRDefault="009622EC" w:rsidP="0055209F">
      <w:pPr>
        <w:rPr>
          <w:rFonts w:asciiTheme="majorHAnsi" w:hAnsiTheme="majorHAnsi" w:cstheme="majorHAnsi"/>
        </w:rPr>
      </w:pPr>
    </w:p>
    <w:p w:rsidR="009622EC" w:rsidRPr="00084701" w:rsidRDefault="009622EC" w:rsidP="0055209F">
      <w:pPr>
        <w:rPr>
          <w:rFonts w:asciiTheme="majorHAnsi" w:hAnsiTheme="majorHAnsi" w:cstheme="majorHAnsi"/>
        </w:rPr>
      </w:pPr>
    </w:p>
    <w:p w:rsidR="005A6EC4" w:rsidRDefault="009622EC" w:rsidP="0055209F">
      <w:pPr>
        <w:rPr>
          <w:rFonts w:asciiTheme="majorHAnsi" w:hAnsiTheme="majorHAnsi" w:cstheme="majorHAnsi"/>
        </w:rPr>
        <w:sectPr w:rsidR="005A6EC4" w:rsidSect="009622EC">
          <w:type w:val="continuous"/>
          <w:pgSz w:w="11906" w:h="16838"/>
          <w:pgMar w:top="1417" w:right="1417" w:bottom="1417" w:left="1417" w:header="708" w:footer="708" w:gutter="0"/>
          <w:cols w:num="2" w:space="708"/>
          <w:docGrid w:linePitch="360"/>
        </w:sectPr>
      </w:pPr>
      <w:r w:rsidRPr="00084701">
        <w:rPr>
          <w:rFonts w:asciiTheme="majorHAnsi" w:hAnsiTheme="majorHAnsi" w:cstheme="majorHAnsi"/>
        </w:rPr>
        <w:t xml:space="preserve">65% </w:t>
      </w:r>
      <w:r w:rsidR="005A6EC4">
        <w:rPr>
          <w:rFonts w:asciiTheme="majorHAnsi" w:hAnsiTheme="majorHAnsi" w:cstheme="majorHAnsi"/>
        </w:rPr>
        <w:t>taotluste vastutavatest täit</w:t>
      </w:r>
      <w:r w:rsidRPr="00084701">
        <w:rPr>
          <w:rFonts w:asciiTheme="majorHAnsi" w:hAnsiTheme="majorHAnsi" w:cstheme="majorHAnsi"/>
        </w:rPr>
        <w:t xml:space="preserve">jatest on mehed, 35% naised. </w:t>
      </w:r>
    </w:p>
    <w:p w:rsidR="005A6EC4" w:rsidRDefault="005A6EC4" w:rsidP="0055209F">
      <w:pPr>
        <w:rPr>
          <w:rFonts w:asciiTheme="majorHAnsi" w:hAnsiTheme="majorHAnsi" w:cstheme="majorHAnsi"/>
        </w:rPr>
      </w:pPr>
      <w:r>
        <w:rPr>
          <w:noProof/>
          <w:lang w:eastAsia="et-EE"/>
        </w:rPr>
        <w:lastRenderedPageBreak/>
        <w:drawing>
          <wp:inline distT="0" distB="0" distL="0" distR="0" wp14:anchorId="6F730ED1" wp14:editId="14864D8C">
            <wp:extent cx="2610000" cy="1566000"/>
            <wp:effectExtent l="0" t="0" r="0" b="0"/>
            <wp:docPr id="4" name="Diagram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A6EC4" w:rsidRDefault="005A6EC4" w:rsidP="0055209F">
      <w:pPr>
        <w:rPr>
          <w:rFonts w:asciiTheme="majorHAnsi" w:hAnsiTheme="majorHAnsi" w:cstheme="majorHAnsi"/>
        </w:rPr>
      </w:pPr>
      <w:r>
        <w:rPr>
          <w:rFonts w:asciiTheme="majorHAnsi" w:hAnsiTheme="majorHAnsi" w:cstheme="majorHAnsi"/>
        </w:rPr>
        <w:t>Joonis 2. Taotluse vastutavate täitjate ja põhitäitjate sooline jaotus.</w:t>
      </w:r>
    </w:p>
    <w:p w:rsidR="005A6EC4" w:rsidRDefault="005A6EC4" w:rsidP="0055209F">
      <w:pPr>
        <w:rPr>
          <w:rFonts w:asciiTheme="majorHAnsi" w:hAnsiTheme="majorHAnsi" w:cstheme="majorHAnsi"/>
        </w:rPr>
      </w:pPr>
      <w:r>
        <w:rPr>
          <w:rFonts w:asciiTheme="majorHAnsi" w:hAnsiTheme="majorHAnsi" w:cstheme="majorHAnsi"/>
        </w:rPr>
        <w:t>56% taotluste vastutavatest täitjatest ja põhitäitjatest on mehed, 44% naised.</w:t>
      </w:r>
    </w:p>
    <w:p w:rsidR="005A6EC4" w:rsidRDefault="005A6EC4" w:rsidP="0055209F">
      <w:pPr>
        <w:rPr>
          <w:rFonts w:asciiTheme="majorHAnsi" w:hAnsiTheme="majorHAnsi" w:cstheme="majorHAnsi"/>
        </w:rPr>
      </w:pPr>
    </w:p>
    <w:p w:rsidR="005A6EC4" w:rsidRDefault="005A6EC4" w:rsidP="0055209F">
      <w:pPr>
        <w:rPr>
          <w:rFonts w:asciiTheme="majorHAnsi" w:hAnsiTheme="majorHAnsi" w:cstheme="majorHAnsi"/>
        </w:rPr>
      </w:pPr>
    </w:p>
    <w:p w:rsidR="009622EC" w:rsidRPr="00084701" w:rsidRDefault="009622EC" w:rsidP="0055209F">
      <w:pPr>
        <w:rPr>
          <w:rFonts w:asciiTheme="majorHAnsi" w:hAnsiTheme="majorHAnsi" w:cstheme="majorHAnsi"/>
        </w:rPr>
        <w:sectPr w:rsidR="009622EC" w:rsidRPr="00084701" w:rsidSect="009622EC">
          <w:type w:val="continuous"/>
          <w:pgSz w:w="11906" w:h="16838"/>
          <w:pgMar w:top="1417" w:right="1417" w:bottom="1417" w:left="1417" w:header="708" w:footer="708" w:gutter="0"/>
          <w:cols w:num="2" w:space="708"/>
          <w:docGrid w:linePitch="360"/>
        </w:sectPr>
      </w:pPr>
      <w:r w:rsidRPr="00084701">
        <w:rPr>
          <w:rFonts w:asciiTheme="majorHAnsi" w:hAnsiTheme="majorHAnsi" w:cstheme="majorHAnsi"/>
        </w:rPr>
        <w:t>Põhitäitjaid on projektis kõige vähem 1 ning kõige rohkem 12, keskmiselt on 3 põhitäitjat projekti kohta.</w:t>
      </w:r>
    </w:p>
    <w:p w:rsidR="009622EC" w:rsidRPr="00084701" w:rsidRDefault="00B87F0F" w:rsidP="00C06559">
      <w:pPr>
        <w:spacing w:after="0"/>
        <w:rPr>
          <w:rFonts w:asciiTheme="majorHAnsi" w:hAnsiTheme="majorHAnsi" w:cstheme="majorHAnsi"/>
        </w:rPr>
      </w:pPr>
      <w:r w:rsidRPr="00084701">
        <w:rPr>
          <w:rFonts w:asciiTheme="majorHAnsi" w:hAnsiTheme="majorHAnsi" w:cstheme="majorHAnsi"/>
          <w:noProof/>
          <w:lang w:eastAsia="et-EE"/>
        </w:rPr>
        <w:drawing>
          <wp:inline distT="0" distB="0" distL="0" distR="0" wp14:anchorId="46C3EA2F" wp14:editId="2D0D653E">
            <wp:extent cx="3524250" cy="2114550"/>
            <wp:effectExtent l="0" t="0" r="0" b="0"/>
            <wp:docPr id="2" name="Diagram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87F0F" w:rsidRPr="00084701" w:rsidRDefault="00B87F0F" w:rsidP="00C06559">
      <w:pPr>
        <w:spacing w:after="120"/>
        <w:rPr>
          <w:rFonts w:asciiTheme="majorHAnsi" w:hAnsiTheme="majorHAnsi" w:cstheme="majorHAnsi"/>
        </w:rPr>
      </w:pPr>
      <w:r w:rsidRPr="00084701">
        <w:rPr>
          <w:rFonts w:asciiTheme="majorHAnsi" w:hAnsiTheme="majorHAnsi" w:cstheme="majorHAnsi"/>
        </w:rPr>
        <w:t xml:space="preserve">Joonis </w:t>
      </w:r>
      <w:r w:rsidR="005A6EC4">
        <w:rPr>
          <w:rFonts w:asciiTheme="majorHAnsi" w:hAnsiTheme="majorHAnsi" w:cstheme="majorHAnsi"/>
        </w:rPr>
        <w:t>3</w:t>
      </w:r>
      <w:r w:rsidRPr="00084701">
        <w:rPr>
          <w:rFonts w:asciiTheme="majorHAnsi" w:hAnsiTheme="majorHAnsi" w:cstheme="majorHAnsi"/>
        </w:rPr>
        <w:t>. Taotlejate</w:t>
      </w:r>
      <w:r w:rsidR="00B006C3" w:rsidRPr="00084701">
        <w:rPr>
          <w:rFonts w:asciiTheme="majorHAnsi" w:hAnsiTheme="majorHAnsi" w:cstheme="majorHAnsi"/>
        </w:rPr>
        <w:t xml:space="preserve"> (vastutava</w:t>
      </w:r>
      <w:r w:rsidR="008563E0" w:rsidRPr="00084701">
        <w:rPr>
          <w:rFonts w:asciiTheme="majorHAnsi" w:hAnsiTheme="majorHAnsi" w:cstheme="majorHAnsi"/>
        </w:rPr>
        <w:t>te</w:t>
      </w:r>
      <w:r w:rsidR="00B006C3" w:rsidRPr="00084701">
        <w:rPr>
          <w:rFonts w:asciiTheme="majorHAnsi" w:hAnsiTheme="majorHAnsi" w:cstheme="majorHAnsi"/>
        </w:rPr>
        <w:t xml:space="preserve"> täitja</w:t>
      </w:r>
      <w:r w:rsidR="008563E0" w:rsidRPr="00084701">
        <w:rPr>
          <w:rFonts w:asciiTheme="majorHAnsi" w:hAnsiTheme="majorHAnsi" w:cstheme="majorHAnsi"/>
        </w:rPr>
        <w:t>te</w:t>
      </w:r>
      <w:r w:rsidR="00B006C3" w:rsidRPr="00084701">
        <w:rPr>
          <w:rFonts w:asciiTheme="majorHAnsi" w:hAnsiTheme="majorHAnsi" w:cstheme="majorHAnsi"/>
        </w:rPr>
        <w:t>)</w:t>
      </w:r>
      <w:r w:rsidRPr="00084701">
        <w:rPr>
          <w:rFonts w:asciiTheme="majorHAnsi" w:hAnsiTheme="majorHAnsi" w:cstheme="majorHAnsi"/>
        </w:rPr>
        <w:t xml:space="preserve"> jaotus vanuse lõikes</w:t>
      </w:r>
    </w:p>
    <w:p w:rsidR="00B87F0F" w:rsidRPr="00084701" w:rsidRDefault="00C06559" w:rsidP="0055209F">
      <w:pPr>
        <w:rPr>
          <w:rFonts w:asciiTheme="majorHAnsi" w:hAnsiTheme="majorHAnsi" w:cstheme="majorHAnsi"/>
        </w:rPr>
      </w:pPr>
      <w:r>
        <w:rPr>
          <w:noProof/>
          <w:lang w:eastAsia="et-EE"/>
        </w:rPr>
        <w:drawing>
          <wp:inline distT="0" distB="0" distL="0" distR="0" wp14:anchorId="288C7475" wp14:editId="0B1C3556">
            <wp:extent cx="4572000" cy="2743200"/>
            <wp:effectExtent l="0" t="0" r="0" b="0"/>
            <wp:docPr id="5" name="Diagram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E6B23" w:rsidRPr="00084701" w:rsidRDefault="005A6EC4" w:rsidP="0055209F">
      <w:pPr>
        <w:rPr>
          <w:rFonts w:asciiTheme="majorHAnsi" w:hAnsiTheme="majorHAnsi" w:cstheme="majorHAnsi"/>
        </w:rPr>
      </w:pPr>
      <w:r>
        <w:rPr>
          <w:rFonts w:asciiTheme="majorHAnsi" w:hAnsiTheme="majorHAnsi" w:cstheme="majorHAnsi"/>
        </w:rPr>
        <w:t>Joonis 4</w:t>
      </w:r>
      <w:r w:rsidR="003E6B23" w:rsidRPr="00084701">
        <w:rPr>
          <w:rFonts w:asciiTheme="majorHAnsi" w:hAnsiTheme="majorHAnsi" w:cstheme="majorHAnsi"/>
        </w:rPr>
        <w:t>. Taotluste jaotus Frascati valdkondade lõikes.</w:t>
      </w:r>
    </w:p>
    <w:p w:rsidR="003E6B23" w:rsidRPr="00084701" w:rsidRDefault="003E6B23" w:rsidP="0055209F">
      <w:pPr>
        <w:rPr>
          <w:rFonts w:asciiTheme="majorHAnsi" w:hAnsiTheme="majorHAnsi" w:cstheme="majorHAnsi"/>
        </w:rPr>
      </w:pPr>
      <w:r w:rsidRPr="00084701">
        <w:rPr>
          <w:rFonts w:asciiTheme="majorHAnsi" w:hAnsiTheme="majorHAnsi" w:cstheme="majorHAnsi"/>
        </w:rPr>
        <w:t>55 taotluses oli märgitud rohkem kui üks Frascati valdkond, sellisel juhul on taotlus joonisel paigutatud sellesse valdkonda, millel oli kõige suurem osakaal. 12 taotlust olid sellised, mille taotleja on märkinud 50% ühte ja 50% teise valdkonda kuuluvaks, nende puhul on taotlus joonisel paigutatud sellesse valdkonda, mis oli taotluses esimesena märgitud. Taotlused jaotati valdkondade vahel vaid statistilisel eesmärgil, hindamine selle jaotuse alusel ei toimu, hindamisel arvestatakse taotluse sisu terviklikult ning taotlusi hinnatakse ühtses pingereas.</w:t>
      </w:r>
    </w:p>
    <w:p w:rsidR="00366745" w:rsidRPr="00084701" w:rsidRDefault="00366745" w:rsidP="00366745">
      <w:pPr>
        <w:rPr>
          <w:rFonts w:asciiTheme="majorHAnsi" w:hAnsiTheme="majorHAnsi" w:cstheme="majorHAnsi"/>
        </w:rPr>
      </w:pPr>
      <w:r w:rsidRPr="00084701">
        <w:rPr>
          <w:rFonts w:asciiTheme="majorHAnsi" w:hAnsiTheme="majorHAnsi" w:cstheme="majorHAnsi"/>
        </w:rPr>
        <w:lastRenderedPageBreak/>
        <w:t>Lisaks valdkonnale märkis iga taotleja taotluses, millise väljakutse lahendamisele tema projekt kaasa ait</w:t>
      </w:r>
      <w:r w:rsidR="007865F6">
        <w:rPr>
          <w:rFonts w:asciiTheme="majorHAnsi" w:hAnsiTheme="majorHAnsi" w:cstheme="majorHAnsi"/>
        </w:rPr>
        <w:t>ab. Väljakutseid on kokku kuus</w:t>
      </w:r>
      <w:r w:rsidRPr="00084701">
        <w:rPr>
          <w:rFonts w:asciiTheme="majorHAnsi" w:hAnsiTheme="majorHAnsi" w:cstheme="majorHAnsi"/>
        </w:rPr>
        <w:t>:</w:t>
      </w:r>
    </w:p>
    <w:p w:rsidR="00366745" w:rsidRPr="00084701" w:rsidRDefault="00366745" w:rsidP="00366745">
      <w:pPr>
        <w:spacing w:after="0"/>
        <w:rPr>
          <w:rFonts w:asciiTheme="majorHAnsi" w:hAnsiTheme="majorHAnsi" w:cstheme="majorHAnsi"/>
        </w:rPr>
      </w:pPr>
      <w:r w:rsidRPr="00084701">
        <w:rPr>
          <w:rFonts w:asciiTheme="majorHAnsi" w:hAnsiTheme="majorHAnsi" w:cstheme="majorHAnsi"/>
        </w:rPr>
        <w:t>1) Public health; translational medicine; health Technologies;</w:t>
      </w:r>
    </w:p>
    <w:p w:rsidR="00366745" w:rsidRPr="00084701" w:rsidRDefault="00366745" w:rsidP="00366745">
      <w:pPr>
        <w:spacing w:after="0"/>
        <w:rPr>
          <w:rFonts w:asciiTheme="majorHAnsi" w:hAnsiTheme="majorHAnsi" w:cstheme="majorHAnsi"/>
        </w:rPr>
      </w:pPr>
      <w:r w:rsidRPr="00084701">
        <w:rPr>
          <w:rFonts w:asciiTheme="majorHAnsi" w:hAnsiTheme="majorHAnsi" w:cstheme="majorHAnsi"/>
        </w:rPr>
        <w:t>2) Migration; social inclusion;</w:t>
      </w:r>
    </w:p>
    <w:p w:rsidR="00366745" w:rsidRPr="00084701" w:rsidRDefault="00366745" w:rsidP="00366745">
      <w:pPr>
        <w:spacing w:after="0"/>
        <w:rPr>
          <w:rFonts w:asciiTheme="majorHAnsi" w:hAnsiTheme="majorHAnsi" w:cstheme="majorHAnsi"/>
        </w:rPr>
      </w:pPr>
      <w:r w:rsidRPr="00084701">
        <w:rPr>
          <w:rFonts w:asciiTheme="majorHAnsi" w:hAnsiTheme="majorHAnsi" w:cstheme="majorHAnsi"/>
        </w:rPr>
        <w:t>3) Regional cyber security; public security;</w:t>
      </w:r>
    </w:p>
    <w:p w:rsidR="00366745" w:rsidRPr="00084701" w:rsidRDefault="00366745" w:rsidP="00366745">
      <w:pPr>
        <w:spacing w:after="0"/>
        <w:rPr>
          <w:rFonts w:asciiTheme="majorHAnsi" w:hAnsiTheme="majorHAnsi" w:cstheme="majorHAnsi"/>
        </w:rPr>
      </w:pPr>
      <w:r w:rsidRPr="00084701">
        <w:rPr>
          <w:rFonts w:asciiTheme="majorHAnsi" w:hAnsiTheme="majorHAnsi" w:cstheme="majorHAnsi"/>
        </w:rPr>
        <w:t>4) Environmentally friendly solutions;</w:t>
      </w:r>
    </w:p>
    <w:p w:rsidR="00366745" w:rsidRPr="00084701" w:rsidRDefault="00366745" w:rsidP="00366745">
      <w:pPr>
        <w:spacing w:after="0"/>
        <w:rPr>
          <w:rFonts w:asciiTheme="majorHAnsi" w:hAnsiTheme="majorHAnsi" w:cstheme="majorHAnsi"/>
        </w:rPr>
      </w:pPr>
      <w:r w:rsidRPr="00084701">
        <w:rPr>
          <w:rFonts w:asciiTheme="majorHAnsi" w:hAnsiTheme="majorHAnsi" w:cstheme="majorHAnsi"/>
        </w:rPr>
        <w:t>5) Regional economic development; employment; labour market regulations and social policy;</w:t>
      </w:r>
    </w:p>
    <w:p w:rsidR="003E6B23" w:rsidRPr="00084701" w:rsidRDefault="00366745" w:rsidP="00C06559">
      <w:pPr>
        <w:spacing w:after="120"/>
        <w:rPr>
          <w:rFonts w:asciiTheme="majorHAnsi" w:hAnsiTheme="majorHAnsi" w:cstheme="majorHAnsi"/>
        </w:rPr>
      </w:pPr>
      <w:r w:rsidRPr="00084701">
        <w:rPr>
          <w:rFonts w:asciiTheme="majorHAnsi" w:hAnsiTheme="majorHAnsi" w:cstheme="majorHAnsi"/>
        </w:rPr>
        <w:t xml:space="preserve">6) </w:t>
      </w:r>
      <w:r w:rsidR="007865F6">
        <w:rPr>
          <w:rFonts w:asciiTheme="majorHAnsi" w:hAnsiTheme="majorHAnsi" w:cstheme="majorHAnsi"/>
        </w:rPr>
        <w:t>More effective use of resources.</w:t>
      </w:r>
    </w:p>
    <w:p w:rsidR="00366745" w:rsidRPr="00084701" w:rsidRDefault="00366745" w:rsidP="00366745">
      <w:pPr>
        <w:spacing w:after="0"/>
        <w:rPr>
          <w:rFonts w:asciiTheme="majorHAnsi" w:hAnsiTheme="majorHAnsi" w:cstheme="majorHAnsi"/>
        </w:rPr>
      </w:pPr>
      <w:r w:rsidRPr="00084701">
        <w:rPr>
          <w:rFonts w:asciiTheme="majorHAnsi" w:hAnsiTheme="majorHAnsi" w:cstheme="majorHAnsi"/>
        </w:rPr>
        <w:t>Üldiselt on taotlused plaanitud kaasa aitama kõigi väljakutsete lahendamisele, vaid üks taotleja on märkinud, et tema taotlus ei adresseeri ühtegi väljapakutud väljakutsetest. Keskmiselt on iga taotluse kohta märgitud ära kaks väljakutset, 58 taotlusega lahendatakse vaid ühte väljakutsetest, ühes taotluses on märgitud 5 väljakutse lahendamine. Kõige enam on taotlustes märgitud kuuendat (</w:t>
      </w:r>
      <w:r w:rsidR="006D2443" w:rsidRPr="00084701">
        <w:rPr>
          <w:rFonts w:asciiTheme="majorHAnsi" w:hAnsiTheme="majorHAnsi" w:cstheme="majorHAnsi"/>
        </w:rPr>
        <w:t xml:space="preserve">ressursside tõhusam kasutamine - </w:t>
      </w:r>
      <w:r w:rsidRPr="00084701">
        <w:rPr>
          <w:rFonts w:asciiTheme="majorHAnsi" w:hAnsiTheme="majorHAnsi" w:cstheme="majorHAnsi"/>
        </w:rPr>
        <w:t>58 taotlust), neljandat (</w:t>
      </w:r>
      <w:r w:rsidR="006D2443" w:rsidRPr="00084701">
        <w:rPr>
          <w:rFonts w:asciiTheme="majorHAnsi" w:hAnsiTheme="majorHAnsi" w:cstheme="majorHAnsi"/>
        </w:rPr>
        <w:t xml:space="preserve">keskkonnasõbralikud lahendused - </w:t>
      </w:r>
      <w:r w:rsidRPr="00084701">
        <w:rPr>
          <w:rFonts w:asciiTheme="majorHAnsi" w:hAnsiTheme="majorHAnsi" w:cstheme="majorHAnsi"/>
        </w:rPr>
        <w:t>56 taotlust) ja esimest väljakutset (</w:t>
      </w:r>
      <w:r w:rsidR="006D2443" w:rsidRPr="00084701">
        <w:rPr>
          <w:rFonts w:asciiTheme="majorHAnsi" w:hAnsiTheme="majorHAnsi" w:cstheme="majorHAnsi"/>
        </w:rPr>
        <w:t xml:space="preserve">terviseteemaline väljakutse - </w:t>
      </w:r>
      <w:r w:rsidRPr="00084701">
        <w:rPr>
          <w:rFonts w:asciiTheme="majorHAnsi" w:hAnsiTheme="majorHAnsi" w:cstheme="majorHAnsi"/>
        </w:rPr>
        <w:t>55 taotlust).</w:t>
      </w:r>
    </w:p>
    <w:p w:rsidR="00366745" w:rsidRPr="00084701" w:rsidRDefault="00366745" w:rsidP="00366745">
      <w:pPr>
        <w:spacing w:after="0"/>
        <w:rPr>
          <w:rFonts w:asciiTheme="majorHAnsi" w:hAnsiTheme="majorHAnsi" w:cstheme="majorHAnsi"/>
        </w:rPr>
      </w:pPr>
    </w:p>
    <w:p w:rsidR="00366745" w:rsidRPr="00084701" w:rsidRDefault="009D4894" w:rsidP="00366745">
      <w:pPr>
        <w:spacing w:after="0"/>
        <w:rPr>
          <w:rFonts w:asciiTheme="majorHAnsi" w:hAnsiTheme="majorHAnsi" w:cstheme="majorHAnsi"/>
        </w:rPr>
      </w:pPr>
      <w:r w:rsidRPr="00084701">
        <w:rPr>
          <w:rFonts w:asciiTheme="majorHAnsi" w:hAnsiTheme="majorHAnsi" w:cstheme="majorHAnsi"/>
        </w:rPr>
        <w:t>Tabel. 3 Taotlustes märgitud partnerite riigid</w:t>
      </w:r>
    </w:p>
    <w:tbl>
      <w:tblPr>
        <w:tblW w:w="3964" w:type="dxa"/>
        <w:tblCellMar>
          <w:left w:w="70" w:type="dxa"/>
          <w:right w:w="70" w:type="dxa"/>
        </w:tblCellMar>
        <w:tblLook w:val="04A0" w:firstRow="1" w:lastRow="0" w:firstColumn="1" w:lastColumn="0" w:noHBand="0" w:noVBand="1"/>
      </w:tblPr>
      <w:tblGrid>
        <w:gridCol w:w="1980"/>
        <w:gridCol w:w="1984"/>
      </w:tblGrid>
      <w:tr w:rsidR="004B0AD0" w:rsidRPr="004B0AD0" w:rsidTr="004B0AD0">
        <w:trPr>
          <w:trHeight w:val="900"/>
        </w:trPr>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B0AD0" w:rsidRPr="004B0AD0" w:rsidRDefault="004B0AD0" w:rsidP="004B0AD0">
            <w:pPr>
              <w:spacing w:after="0" w:line="240" w:lineRule="auto"/>
              <w:rPr>
                <w:rFonts w:asciiTheme="majorHAnsi" w:eastAsia="Times New Roman" w:hAnsiTheme="majorHAnsi" w:cstheme="majorHAnsi"/>
                <w:color w:val="000000"/>
                <w:lang w:eastAsia="et-EE"/>
              </w:rPr>
            </w:pPr>
            <w:r w:rsidRPr="004B0AD0">
              <w:rPr>
                <w:rFonts w:asciiTheme="majorHAnsi" w:eastAsia="Times New Roman" w:hAnsiTheme="majorHAnsi" w:cstheme="majorHAnsi"/>
                <w:color w:val="000000"/>
                <w:lang w:eastAsia="et-EE"/>
              </w:rPr>
              <w:t>Projekti partneri riik</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4B0AD0" w:rsidRPr="004B0AD0" w:rsidRDefault="004B0AD0" w:rsidP="004B0AD0">
            <w:pPr>
              <w:spacing w:after="0" w:line="240" w:lineRule="auto"/>
              <w:rPr>
                <w:rFonts w:asciiTheme="majorHAnsi" w:eastAsia="Times New Roman" w:hAnsiTheme="majorHAnsi" w:cstheme="majorHAnsi"/>
                <w:color w:val="000000"/>
                <w:lang w:eastAsia="et-EE"/>
              </w:rPr>
            </w:pPr>
            <w:r w:rsidRPr="004B0AD0">
              <w:rPr>
                <w:rFonts w:asciiTheme="majorHAnsi" w:eastAsia="Times New Roman" w:hAnsiTheme="majorHAnsi" w:cstheme="majorHAnsi"/>
                <w:color w:val="000000"/>
                <w:lang w:eastAsia="et-EE"/>
              </w:rPr>
              <w:t>Taotluste arv, kus sellest riigist partner</w:t>
            </w:r>
          </w:p>
        </w:tc>
      </w:tr>
      <w:tr w:rsidR="004B0AD0" w:rsidRPr="004B0AD0" w:rsidTr="004B0AD0">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4B0AD0" w:rsidRPr="004B0AD0" w:rsidRDefault="004B0AD0" w:rsidP="004B0AD0">
            <w:pPr>
              <w:spacing w:after="0" w:line="240" w:lineRule="auto"/>
              <w:rPr>
                <w:rFonts w:asciiTheme="majorHAnsi" w:eastAsia="Times New Roman" w:hAnsiTheme="majorHAnsi" w:cstheme="majorHAnsi"/>
                <w:color w:val="000000"/>
                <w:lang w:eastAsia="et-EE"/>
              </w:rPr>
            </w:pPr>
            <w:r w:rsidRPr="004B0AD0">
              <w:rPr>
                <w:rFonts w:asciiTheme="majorHAnsi" w:eastAsia="Times New Roman" w:hAnsiTheme="majorHAnsi" w:cstheme="majorHAnsi"/>
                <w:color w:val="000000"/>
                <w:lang w:eastAsia="et-EE"/>
              </w:rPr>
              <w:t>NORRA</w:t>
            </w:r>
          </w:p>
        </w:tc>
        <w:tc>
          <w:tcPr>
            <w:tcW w:w="1984" w:type="dxa"/>
            <w:tcBorders>
              <w:top w:val="nil"/>
              <w:left w:val="nil"/>
              <w:bottom w:val="single" w:sz="4" w:space="0" w:color="auto"/>
              <w:right w:val="single" w:sz="4" w:space="0" w:color="auto"/>
            </w:tcBorders>
            <w:shd w:val="clear" w:color="auto" w:fill="auto"/>
            <w:noWrap/>
            <w:vAlign w:val="bottom"/>
            <w:hideMark/>
          </w:tcPr>
          <w:p w:rsidR="004B0AD0" w:rsidRPr="004B0AD0" w:rsidRDefault="004B0AD0" w:rsidP="004B0AD0">
            <w:pPr>
              <w:spacing w:after="0" w:line="240" w:lineRule="auto"/>
              <w:jc w:val="right"/>
              <w:rPr>
                <w:rFonts w:asciiTheme="majorHAnsi" w:eastAsia="Times New Roman" w:hAnsiTheme="majorHAnsi" w:cstheme="majorHAnsi"/>
                <w:color w:val="000000"/>
                <w:lang w:eastAsia="et-EE"/>
              </w:rPr>
            </w:pPr>
            <w:r w:rsidRPr="004B0AD0">
              <w:rPr>
                <w:rFonts w:asciiTheme="majorHAnsi" w:eastAsia="Times New Roman" w:hAnsiTheme="majorHAnsi" w:cstheme="majorHAnsi"/>
                <w:color w:val="000000"/>
                <w:lang w:eastAsia="et-EE"/>
              </w:rPr>
              <w:t>147</w:t>
            </w:r>
          </w:p>
        </w:tc>
      </w:tr>
      <w:tr w:rsidR="004B0AD0" w:rsidRPr="004B0AD0" w:rsidTr="004B0AD0">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4B0AD0" w:rsidRPr="004B0AD0" w:rsidRDefault="004B0AD0" w:rsidP="004B0AD0">
            <w:pPr>
              <w:spacing w:after="0" w:line="240" w:lineRule="auto"/>
              <w:rPr>
                <w:rFonts w:asciiTheme="majorHAnsi" w:eastAsia="Times New Roman" w:hAnsiTheme="majorHAnsi" w:cstheme="majorHAnsi"/>
                <w:color w:val="000000"/>
                <w:lang w:eastAsia="et-EE"/>
              </w:rPr>
            </w:pPr>
            <w:r w:rsidRPr="004B0AD0">
              <w:rPr>
                <w:rFonts w:asciiTheme="majorHAnsi" w:eastAsia="Times New Roman" w:hAnsiTheme="majorHAnsi" w:cstheme="majorHAnsi"/>
                <w:color w:val="000000"/>
                <w:lang w:eastAsia="et-EE"/>
              </w:rPr>
              <w:t>LEEDU</w:t>
            </w:r>
          </w:p>
        </w:tc>
        <w:tc>
          <w:tcPr>
            <w:tcW w:w="1984" w:type="dxa"/>
            <w:tcBorders>
              <w:top w:val="nil"/>
              <w:left w:val="nil"/>
              <w:bottom w:val="single" w:sz="4" w:space="0" w:color="auto"/>
              <w:right w:val="single" w:sz="4" w:space="0" w:color="auto"/>
            </w:tcBorders>
            <w:shd w:val="clear" w:color="auto" w:fill="auto"/>
            <w:noWrap/>
            <w:vAlign w:val="bottom"/>
            <w:hideMark/>
          </w:tcPr>
          <w:p w:rsidR="004B0AD0" w:rsidRPr="004B0AD0" w:rsidRDefault="004B0AD0" w:rsidP="004B0AD0">
            <w:pPr>
              <w:spacing w:after="0" w:line="240" w:lineRule="auto"/>
              <w:jc w:val="right"/>
              <w:rPr>
                <w:rFonts w:asciiTheme="majorHAnsi" w:eastAsia="Times New Roman" w:hAnsiTheme="majorHAnsi" w:cstheme="majorHAnsi"/>
                <w:color w:val="000000"/>
                <w:lang w:eastAsia="et-EE"/>
              </w:rPr>
            </w:pPr>
            <w:r w:rsidRPr="004B0AD0">
              <w:rPr>
                <w:rFonts w:asciiTheme="majorHAnsi" w:eastAsia="Times New Roman" w:hAnsiTheme="majorHAnsi" w:cstheme="majorHAnsi"/>
                <w:color w:val="000000"/>
                <w:lang w:eastAsia="et-EE"/>
              </w:rPr>
              <w:t>109</w:t>
            </w:r>
          </w:p>
        </w:tc>
      </w:tr>
      <w:tr w:rsidR="004B0AD0" w:rsidRPr="004B0AD0" w:rsidTr="004B0AD0">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4B0AD0" w:rsidRPr="004B0AD0" w:rsidRDefault="004B0AD0" w:rsidP="004B0AD0">
            <w:pPr>
              <w:spacing w:after="0" w:line="240" w:lineRule="auto"/>
              <w:rPr>
                <w:rFonts w:asciiTheme="majorHAnsi" w:eastAsia="Times New Roman" w:hAnsiTheme="majorHAnsi" w:cstheme="majorHAnsi"/>
                <w:color w:val="000000"/>
                <w:lang w:eastAsia="et-EE"/>
              </w:rPr>
            </w:pPr>
            <w:r w:rsidRPr="004B0AD0">
              <w:rPr>
                <w:rFonts w:asciiTheme="majorHAnsi" w:eastAsia="Times New Roman" w:hAnsiTheme="majorHAnsi" w:cstheme="majorHAnsi"/>
                <w:color w:val="000000"/>
                <w:lang w:eastAsia="et-EE"/>
              </w:rPr>
              <w:t>LÄTI</w:t>
            </w:r>
          </w:p>
        </w:tc>
        <w:tc>
          <w:tcPr>
            <w:tcW w:w="1984" w:type="dxa"/>
            <w:tcBorders>
              <w:top w:val="nil"/>
              <w:left w:val="nil"/>
              <w:bottom w:val="single" w:sz="4" w:space="0" w:color="auto"/>
              <w:right w:val="single" w:sz="4" w:space="0" w:color="auto"/>
            </w:tcBorders>
            <w:shd w:val="clear" w:color="auto" w:fill="auto"/>
            <w:noWrap/>
            <w:vAlign w:val="bottom"/>
            <w:hideMark/>
          </w:tcPr>
          <w:p w:rsidR="004B0AD0" w:rsidRPr="004B0AD0" w:rsidRDefault="004B0AD0" w:rsidP="004B0AD0">
            <w:pPr>
              <w:spacing w:after="0" w:line="240" w:lineRule="auto"/>
              <w:jc w:val="right"/>
              <w:rPr>
                <w:rFonts w:asciiTheme="majorHAnsi" w:eastAsia="Times New Roman" w:hAnsiTheme="majorHAnsi" w:cstheme="majorHAnsi"/>
                <w:color w:val="000000"/>
                <w:lang w:eastAsia="et-EE"/>
              </w:rPr>
            </w:pPr>
            <w:r w:rsidRPr="004B0AD0">
              <w:rPr>
                <w:rFonts w:asciiTheme="majorHAnsi" w:eastAsia="Times New Roman" w:hAnsiTheme="majorHAnsi" w:cstheme="majorHAnsi"/>
                <w:color w:val="000000"/>
                <w:lang w:eastAsia="et-EE"/>
              </w:rPr>
              <w:t>107</w:t>
            </w:r>
          </w:p>
        </w:tc>
      </w:tr>
      <w:tr w:rsidR="004B0AD0" w:rsidRPr="004B0AD0" w:rsidTr="004B0AD0">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4B0AD0" w:rsidRPr="004B0AD0" w:rsidRDefault="004B0AD0" w:rsidP="004B0AD0">
            <w:pPr>
              <w:spacing w:after="0" w:line="240" w:lineRule="auto"/>
              <w:rPr>
                <w:rFonts w:asciiTheme="majorHAnsi" w:eastAsia="Times New Roman" w:hAnsiTheme="majorHAnsi" w:cstheme="majorHAnsi"/>
                <w:color w:val="000000"/>
                <w:lang w:eastAsia="et-EE"/>
              </w:rPr>
            </w:pPr>
            <w:r w:rsidRPr="004B0AD0">
              <w:rPr>
                <w:rFonts w:asciiTheme="majorHAnsi" w:eastAsia="Times New Roman" w:hAnsiTheme="majorHAnsi" w:cstheme="majorHAnsi"/>
                <w:color w:val="000000"/>
                <w:lang w:eastAsia="et-EE"/>
              </w:rPr>
              <w:t>KOLMANDAD</w:t>
            </w:r>
            <w:r w:rsidRPr="00084701">
              <w:rPr>
                <w:rFonts w:asciiTheme="majorHAnsi" w:eastAsia="Times New Roman" w:hAnsiTheme="majorHAnsi" w:cstheme="majorHAnsi"/>
                <w:color w:val="000000"/>
                <w:lang w:eastAsia="et-EE"/>
              </w:rPr>
              <w:t xml:space="preserve"> RIIGID</w:t>
            </w:r>
          </w:p>
        </w:tc>
        <w:tc>
          <w:tcPr>
            <w:tcW w:w="1984" w:type="dxa"/>
            <w:tcBorders>
              <w:top w:val="nil"/>
              <w:left w:val="nil"/>
              <w:bottom w:val="single" w:sz="4" w:space="0" w:color="auto"/>
              <w:right w:val="single" w:sz="4" w:space="0" w:color="auto"/>
            </w:tcBorders>
            <w:shd w:val="clear" w:color="auto" w:fill="auto"/>
            <w:noWrap/>
            <w:vAlign w:val="bottom"/>
            <w:hideMark/>
          </w:tcPr>
          <w:p w:rsidR="004B0AD0" w:rsidRPr="004B0AD0" w:rsidRDefault="004B0AD0" w:rsidP="004B0AD0">
            <w:pPr>
              <w:spacing w:after="0" w:line="240" w:lineRule="auto"/>
              <w:jc w:val="right"/>
              <w:rPr>
                <w:rFonts w:asciiTheme="majorHAnsi" w:eastAsia="Times New Roman" w:hAnsiTheme="majorHAnsi" w:cstheme="majorHAnsi"/>
                <w:color w:val="000000"/>
                <w:lang w:eastAsia="et-EE"/>
              </w:rPr>
            </w:pPr>
            <w:r w:rsidRPr="004B0AD0">
              <w:rPr>
                <w:rFonts w:asciiTheme="majorHAnsi" w:eastAsia="Times New Roman" w:hAnsiTheme="majorHAnsi" w:cstheme="majorHAnsi"/>
                <w:color w:val="000000"/>
                <w:lang w:eastAsia="et-EE"/>
              </w:rPr>
              <w:t>27</w:t>
            </w:r>
          </w:p>
        </w:tc>
      </w:tr>
      <w:tr w:rsidR="004B0AD0" w:rsidRPr="004B0AD0" w:rsidTr="004B0AD0">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4B0AD0" w:rsidRPr="004B0AD0" w:rsidRDefault="004B0AD0" w:rsidP="004B0AD0">
            <w:pPr>
              <w:spacing w:after="0" w:line="240" w:lineRule="auto"/>
              <w:rPr>
                <w:rFonts w:asciiTheme="majorHAnsi" w:eastAsia="Times New Roman" w:hAnsiTheme="majorHAnsi" w:cstheme="majorHAnsi"/>
                <w:color w:val="000000"/>
                <w:lang w:eastAsia="et-EE"/>
              </w:rPr>
            </w:pPr>
            <w:r w:rsidRPr="004B0AD0">
              <w:rPr>
                <w:rFonts w:asciiTheme="majorHAnsi" w:eastAsia="Times New Roman" w:hAnsiTheme="majorHAnsi" w:cstheme="majorHAnsi"/>
                <w:color w:val="000000"/>
                <w:lang w:eastAsia="et-EE"/>
              </w:rPr>
              <w:t>EESTI</w:t>
            </w:r>
          </w:p>
        </w:tc>
        <w:tc>
          <w:tcPr>
            <w:tcW w:w="1984" w:type="dxa"/>
            <w:tcBorders>
              <w:top w:val="nil"/>
              <w:left w:val="nil"/>
              <w:bottom w:val="single" w:sz="4" w:space="0" w:color="auto"/>
              <w:right w:val="single" w:sz="4" w:space="0" w:color="auto"/>
            </w:tcBorders>
            <w:shd w:val="clear" w:color="auto" w:fill="auto"/>
            <w:noWrap/>
            <w:vAlign w:val="bottom"/>
            <w:hideMark/>
          </w:tcPr>
          <w:p w:rsidR="004B0AD0" w:rsidRPr="004B0AD0" w:rsidRDefault="004B0AD0" w:rsidP="004B0AD0">
            <w:pPr>
              <w:spacing w:after="0" w:line="240" w:lineRule="auto"/>
              <w:jc w:val="right"/>
              <w:rPr>
                <w:rFonts w:asciiTheme="majorHAnsi" w:eastAsia="Times New Roman" w:hAnsiTheme="majorHAnsi" w:cstheme="majorHAnsi"/>
                <w:color w:val="000000"/>
                <w:lang w:eastAsia="et-EE"/>
              </w:rPr>
            </w:pPr>
            <w:r w:rsidRPr="004B0AD0">
              <w:rPr>
                <w:rFonts w:asciiTheme="majorHAnsi" w:eastAsia="Times New Roman" w:hAnsiTheme="majorHAnsi" w:cstheme="majorHAnsi"/>
                <w:color w:val="000000"/>
                <w:lang w:eastAsia="et-EE"/>
              </w:rPr>
              <w:t>21</w:t>
            </w:r>
          </w:p>
        </w:tc>
      </w:tr>
      <w:tr w:rsidR="004B0AD0" w:rsidRPr="004B0AD0" w:rsidTr="004B0AD0">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4B0AD0" w:rsidRPr="004B0AD0" w:rsidRDefault="004B0AD0" w:rsidP="004B0AD0">
            <w:pPr>
              <w:spacing w:after="0" w:line="240" w:lineRule="auto"/>
              <w:rPr>
                <w:rFonts w:asciiTheme="majorHAnsi" w:eastAsia="Times New Roman" w:hAnsiTheme="majorHAnsi" w:cstheme="majorHAnsi"/>
                <w:color w:val="000000"/>
                <w:lang w:eastAsia="et-EE"/>
              </w:rPr>
            </w:pPr>
            <w:r w:rsidRPr="004B0AD0">
              <w:rPr>
                <w:rFonts w:asciiTheme="majorHAnsi" w:eastAsia="Times New Roman" w:hAnsiTheme="majorHAnsi" w:cstheme="majorHAnsi"/>
                <w:color w:val="000000"/>
                <w:lang w:eastAsia="et-EE"/>
              </w:rPr>
              <w:t>ISLAND</w:t>
            </w:r>
          </w:p>
        </w:tc>
        <w:tc>
          <w:tcPr>
            <w:tcW w:w="1984" w:type="dxa"/>
            <w:tcBorders>
              <w:top w:val="nil"/>
              <w:left w:val="nil"/>
              <w:bottom w:val="single" w:sz="4" w:space="0" w:color="auto"/>
              <w:right w:val="single" w:sz="4" w:space="0" w:color="auto"/>
            </w:tcBorders>
            <w:shd w:val="clear" w:color="auto" w:fill="auto"/>
            <w:noWrap/>
            <w:vAlign w:val="bottom"/>
            <w:hideMark/>
          </w:tcPr>
          <w:p w:rsidR="004B0AD0" w:rsidRPr="004B0AD0" w:rsidRDefault="004B0AD0" w:rsidP="004B0AD0">
            <w:pPr>
              <w:spacing w:after="0" w:line="240" w:lineRule="auto"/>
              <w:jc w:val="right"/>
              <w:rPr>
                <w:rFonts w:asciiTheme="majorHAnsi" w:eastAsia="Times New Roman" w:hAnsiTheme="majorHAnsi" w:cstheme="majorHAnsi"/>
                <w:color w:val="000000"/>
                <w:lang w:eastAsia="et-EE"/>
              </w:rPr>
            </w:pPr>
            <w:r w:rsidRPr="004B0AD0">
              <w:rPr>
                <w:rFonts w:asciiTheme="majorHAnsi" w:eastAsia="Times New Roman" w:hAnsiTheme="majorHAnsi" w:cstheme="majorHAnsi"/>
                <w:color w:val="000000"/>
                <w:lang w:eastAsia="et-EE"/>
              </w:rPr>
              <w:t>12</w:t>
            </w:r>
          </w:p>
        </w:tc>
      </w:tr>
      <w:tr w:rsidR="004B0AD0" w:rsidRPr="004B0AD0" w:rsidTr="004B0AD0">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4B0AD0" w:rsidRPr="004B0AD0" w:rsidRDefault="004B0AD0" w:rsidP="004B0AD0">
            <w:pPr>
              <w:spacing w:after="0" w:line="240" w:lineRule="auto"/>
              <w:rPr>
                <w:rFonts w:asciiTheme="majorHAnsi" w:eastAsia="Times New Roman" w:hAnsiTheme="majorHAnsi" w:cstheme="majorHAnsi"/>
                <w:color w:val="000000"/>
                <w:lang w:eastAsia="et-EE"/>
              </w:rPr>
            </w:pPr>
            <w:r w:rsidRPr="004B0AD0">
              <w:rPr>
                <w:rFonts w:asciiTheme="majorHAnsi" w:eastAsia="Times New Roman" w:hAnsiTheme="majorHAnsi" w:cstheme="majorHAnsi"/>
                <w:color w:val="000000"/>
                <w:lang w:eastAsia="et-EE"/>
              </w:rPr>
              <w:t>LIECHTENSTEIN</w:t>
            </w:r>
          </w:p>
        </w:tc>
        <w:tc>
          <w:tcPr>
            <w:tcW w:w="1984" w:type="dxa"/>
            <w:tcBorders>
              <w:top w:val="nil"/>
              <w:left w:val="nil"/>
              <w:bottom w:val="single" w:sz="4" w:space="0" w:color="auto"/>
              <w:right w:val="single" w:sz="4" w:space="0" w:color="auto"/>
            </w:tcBorders>
            <w:shd w:val="clear" w:color="auto" w:fill="auto"/>
            <w:noWrap/>
            <w:vAlign w:val="bottom"/>
            <w:hideMark/>
          </w:tcPr>
          <w:p w:rsidR="004B0AD0" w:rsidRPr="004B0AD0" w:rsidRDefault="004B0AD0" w:rsidP="004B0AD0">
            <w:pPr>
              <w:spacing w:after="0" w:line="240" w:lineRule="auto"/>
              <w:jc w:val="right"/>
              <w:rPr>
                <w:rFonts w:asciiTheme="majorHAnsi" w:eastAsia="Times New Roman" w:hAnsiTheme="majorHAnsi" w:cstheme="majorHAnsi"/>
                <w:color w:val="000000"/>
                <w:lang w:eastAsia="et-EE"/>
              </w:rPr>
            </w:pPr>
            <w:r w:rsidRPr="004B0AD0">
              <w:rPr>
                <w:rFonts w:asciiTheme="majorHAnsi" w:eastAsia="Times New Roman" w:hAnsiTheme="majorHAnsi" w:cstheme="majorHAnsi"/>
                <w:color w:val="000000"/>
                <w:lang w:eastAsia="et-EE"/>
              </w:rPr>
              <w:t>1</w:t>
            </w:r>
          </w:p>
        </w:tc>
      </w:tr>
    </w:tbl>
    <w:p w:rsidR="009D4894" w:rsidRPr="00084701" w:rsidRDefault="009D4894" w:rsidP="00366745">
      <w:pPr>
        <w:spacing w:after="0"/>
        <w:rPr>
          <w:rFonts w:asciiTheme="majorHAnsi" w:hAnsiTheme="majorHAnsi" w:cstheme="majorHAnsi"/>
        </w:rPr>
      </w:pPr>
    </w:p>
    <w:p w:rsidR="009D4894" w:rsidRDefault="000C3D44" w:rsidP="00366745">
      <w:pPr>
        <w:spacing w:after="0"/>
        <w:rPr>
          <w:rFonts w:asciiTheme="majorHAnsi" w:hAnsiTheme="majorHAnsi" w:cstheme="majorHAnsi"/>
        </w:rPr>
      </w:pPr>
      <w:r w:rsidRPr="00084701">
        <w:rPr>
          <w:rFonts w:asciiTheme="majorHAnsi" w:hAnsiTheme="majorHAnsi" w:cstheme="majorHAnsi"/>
        </w:rPr>
        <w:t>Iga taotluse kohta on märgitud keskmiselt 3 partnerit.</w:t>
      </w:r>
    </w:p>
    <w:p w:rsidR="00B06248" w:rsidRDefault="00B06248" w:rsidP="00366745">
      <w:pPr>
        <w:spacing w:after="0"/>
        <w:rPr>
          <w:rFonts w:asciiTheme="majorHAnsi" w:hAnsiTheme="majorHAnsi" w:cstheme="majorHAnsi"/>
        </w:rPr>
      </w:pPr>
    </w:p>
    <w:p w:rsidR="00B06248" w:rsidRDefault="00B06248" w:rsidP="00366745">
      <w:pPr>
        <w:spacing w:after="0"/>
        <w:rPr>
          <w:rFonts w:asciiTheme="majorHAnsi" w:hAnsiTheme="majorHAnsi" w:cstheme="majorHAnsi"/>
        </w:rPr>
      </w:pPr>
      <w:r>
        <w:rPr>
          <w:rFonts w:asciiTheme="majorHAnsi" w:hAnsiTheme="majorHAnsi" w:cstheme="majorHAnsi"/>
        </w:rPr>
        <w:t xml:space="preserve">Tabel 4. Kõige enam </w:t>
      </w:r>
      <w:r w:rsidR="006C6732">
        <w:rPr>
          <w:rFonts w:asciiTheme="majorHAnsi" w:hAnsiTheme="majorHAnsi" w:cstheme="majorHAnsi"/>
        </w:rPr>
        <w:t xml:space="preserve">(rohkem kui 5 korral) </w:t>
      </w:r>
      <w:r>
        <w:rPr>
          <w:rFonts w:asciiTheme="majorHAnsi" w:hAnsiTheme="majorHAnsi" w:cstheme="majorHAnsi"/>
        </w:rPr>
        <w:t>mainitud partnerasutused</w:t>
      </w:r>
    </w:p>
    <w:tbl>
      <w:tblPr>
        <w:tblStyle w:val="Kontuurtabel"/>
        <w:tblW w:w="0" w:type="auto"/>
        <w:tblLook w:val="04A0" w:firstRow="1" w:lastRow="0" w:firstColumn="1" w:lastColumn="0" w:noHBand="0" w:noVBand="1"/>
      </w:tblPr>
      <w:tblGrid>
        <w:gridCol w:w="4620"/>
        <w:gridCol w:w="1471"/>
      </w:tblGrid>
      <w:tr w:rsidR="00B06248" w:rsidRPr="00B06248" w:rsidTr="00C06559">
        <w:trPr>
          <w:trHeight w:val="300"/>
        </w:trPr>
        <w:tc>
          <w:tcPr>
            <w:tcW w:w="4620" w:type="dxa"/>
            <w:noWrap/>
            <w:hideMark/>
          </w:tcPr>
          <w:p w:rsidR="00B06248" w:rsidRPr="00B06248" w:rsidRDefault="00B06248" w:rsidP="00B06248">
            <w:pPr>
              <w:rPr>
                <w:rFonts w:asciiTheme="majorHAnsi" w:hAnsiTheme="majorHAnsi" w:cstheme="majorHAnsi"/>
              </w:rPr>
            </w:pPr>
            <w:r w:rsidRPr="00B06248">
              <w:rPr>
                <w:rFonts w:asciiTheme="majorHAnsi" w:hAnsiTheme="majorHAnsi" w:cstheme="majorHAnsi"/>
              </w:rPr>
              <w:t>Partnerasutus</w:t>
            </w:r>
          </w:p>
        </w:tc>
        <w:tc>
          <w:tcPr>
            <w:tcW w:w="1471" w:type="dxa"/>
            <w:noWrap/>
            <w:hideMark/>
          </w:tcPr>
          <w:p w:rsidR="00B06248" w:rsidRPr="00B06248" w:rsidRDefault="00B06248" w:rsidP="00B06248">
            <w:pPr>
              <w:rPr>
                <w:rFonts w:asciiTheme="majorHAnsi" w:hAnsiTheme="majorHAnsi" w:cstheme="majorHAnsi"/>
              </w:rPr>
            </w:pPr>
            <w:r w:rsidRPr="00B06248">
              <w:rPr>
                <w:rFonts w:asciiTheme="majorHAnsi" w:hAnsiTheme="majorHAnsi" w:cstheme="majorHAnsi"/>
              </w:rPr>
              <w:t>Taotluste arv</w:t>
            </w:r>
          </w:p>
        </w:tc>
      </w:tr>
      <w:tr w:rsidR="00B06248" w:rsidRPr="00B06248" w:rsidTr="00C06559">
        <w:trPr>
          <w:trHeight w:val="300"/>
        </w:trPr>
        <w:tc>
          <w:tcPr>
            <w:tcW w:w="4620" w:type="dxa"/>
            <w:noWrap/>
            <w:hideMark/>
          </w:tcPr>
          <w:p w:rsidR="00B06248" w:rsidRPr="00B06248" w:rsidRDefault="00B06248" w:rsidP="00B06248">
            <w:pPr>
              <w:rPr>
                <w:rFonts w:asciiTheme="majorHAnsi" w:hAnsiTheme="majorHAnsi" w:cstheme="majorHAnsi"/>
              </w:rPr>
            </w:pPr>
            <w:r w:rsidRPr="00B06248">
              <w:rPr>
                <w:rFonts w:asciiTheme="majorHAnsi" w:hAnsiTheme="majorHAnsi" w:cstheme="majorHAnsi"/>
              </w:rPr>
              <w:t>University of Latvia</w:t>
            </w:r>
          </w:p>
        </w:tc>
        <w:tc>
          <w:tcPr>
            <w:tcW w:w="1471" w:type="dxa"/>
            <w:noWrap/>
            <w:hideMark/>
          </w:tcPr>
          <w:p w:rsidR="00B06248" w:rsidRPr="00B06248" w:rsidRDefault="00B06248" w:rsidP="00B06248">
            <w:pPr>
              <w:rPr>
                <w:rFonts w:asciiTheme="majorHAnsi" w:hAnsiTheme="majorHAnsi" w:cstheme="majorHAnsi"/>
              </w:rPr>
            </w:pPr>
            <w:r w:rsidRPr="00B06248">
              <w:rPr>
                <w:rFonts w:asciiTheme="majorHAnsi" w:hAnsiTheme="majorHAnsi" w:cstheme="majorHAnsi"/>
              </w:rPr>
              <w:t>22</w:t>
            </w:r>
          </w:p>
        </w:tc>
      </w:tr>
      <w:tr w:rsidR="00B06248" w:rsidRPr="00B06248" w:rsidTr="00C06559">
        <w:trPr>
          <w:trHeight w:val="300"/>
        </w:trPr>
        <w:tc>
          <w:tcPr>
            <w:tcW w:w="4620" w:type="dxa"/>
            <w:noWrap/>
            <w:hideMark/>
          </w:tcPr>
          <w:p w:rsidR="00B06248" w:rsidRPr="00B06248" w:rsidRDefault="0027080F" w:rsidP="00B06248">
            <w:pPr>
              <w:rPr>
                <w:rFonts w:asciiTheme="majorHAnsi" w:hAnsiTheme="majorHAnsi" w:cstheme="majorHAnsi"/>
              </w:rPr>
            </w:pPr>
            <w:r>
              <w:rPr>
                <w:rFonts w:asciiTheme="majorHAnsi" w:hAnsiTheme="majorHAnsi" w:cstheme="majorHAnsi"/>
              </w:rPr>
              <w:t>Norwegian University of Science and T</w:t>
            </w:r>
            <w:r w:rsidR="00B06248" w:rsidRPr="00B06248">
              <w:rPr>
                <w:rFonts w:asciiTheme="majorHAnsi" w:hAnsiTheme="majorHAnsi" w:cstheme="majorHAnsi"/>
              </w:rPr>
              <w:t>echnology</w:t>
            </w:r>
          </w:p>
        </w:tc>
        <w:tc>
          <w:tcPr>
            <w:tcW w:w="1471" w:type="dxa"/>
            <w:noWrap/>
            <w:hideMark/>
          </w:tcPr>
          <w:p w:rsidR="00B06248" w:rsidRPr="00B06248" w:rsidRDefault="00B06248" w:rsidP="00B06248">
            <w:pPr>
              <w:rPr>
                <w:rFonts w:asciiTheme="majorHAnsi" w:hAnsiTheme="majorHAnsi" w:cstheme="majorHAnsi"/>
              </w:rPr>
            </w:pPr>
            <w:r w:rsidRPr="00B06248">
              <w:rPr>
                <w:rFonts w:asciiTheme="majorHAnsi" w:hAnsiTheme="majorHAnsi" w:cstheme="majorHAnsi"/>
              </w:rPr>
              <w:t>14</w:t>
            </w:r>
          </w:p>
        </w:tc>
      </w:tr>
      <w:tr w:rsidR="00B06248" w:rsidRPr="00B06248" w:rsidTr="00C06559">
        <w:trPr>
          <w:trHeight w:val="300"/>
        </w:trPr>
        <w:tc>
          <w:tcPr>
            <w:tcW w:w="4620" w:type="dxa"/>
            <w:noWrap/>
            <w:hideMark/>
          </w:tcPr>
          <w:p w:rsidR="00B06248" w:rsidRPr="00B06248" w:rsidRDefault="00B06248" w:rsidP="00B06248">
            <w:pPr>
              <w:rPr>
                <w:rFonts w:asciiTheme="majorHAnsi" w:hAnsiTheme="majorHAnsi" w:cstheme="majorHAnsi"/>
              </w:rPr>
            </w:pPr>
            <w:r w:rsidRPr="00B06248">
              <w:rPr>
                <w:rFonts w:asciiTheme="majorHAnsi" w:hAnsiTheme="majorHAnsi" w:cstheme="majorHAnsi"/>
              </w:rPr>
              <w:t>Vilnius University</w:t>
            </w:r>
          </w:p>
        </w:tc>
        <w:tc>
          <w:tcPr>
            <w:tcW w:w="1471" w:type="dxa"/>
            <w:noWrap/>
            <w:hideMark/>
          </w:tcPr>
          <w:p w:rsidR="00B06248" w:rsidRPr="00B06248" w:rsidRDefault="00B06248" w:rsidP="00B06248">
            <w:pPr>
              <w:rPr>
                <w:rFonts w:asciiTheme="majorHAnsi" w:hAnsiTheme="majorHAnsi" w:cstheme="majorHAnsi"/>
              </w:rPr>
            </w:pPr>
            <w:r w:rsidRPr="00B06248">
              <w:rPr>
                <w:rFonts w:asciiTheme="majorHAnsi" w:hAnsiTheme="majorHAnsi" w:cstheme="majorHAnsi"/>
              </w:rPr>
              <w:t>14</w:t>
            </w:r>
          </w:p>
        </w:tc>
      </w:tr>
      <w:tr w:rsidR="00B06248" w:rsidRPr="00B06248" w:rsidTr="00C06559">
        <w:trPr>
          <w:trHeight w:val="300"/>
        </w:trPr>
        <w:tc>
          <w:tcPr>
            <w:tcW w:w="4620" w:type="dxa"/>
            <w:noWrap/>
            <w:hideMark/>
          </w:tcPr>
          <w:p w:rsidR="00B06248" w:rsidRPr="00B06248" w:rsidRDefault="00B06248" w:rsidP="00B06248">
            <w:pPr>
              <w:rPr>
                <w:rFonts w:asciiTheme="majorHAnsi" w:hAnsiTheme="majorHAnsi" w:cstheme="majorHAnsi"/>
              </w:rPr>
            </w:pPr>
            <w:r w:rsidRPr="00B06248">
              <w:rPr>
                <w:rFonts w:asciiTheme="majorHAnsi" w:hAnsiTheme="majorHAnsi" w:cstheme="majorHAnsi"/>
              </w:rPr>
              <w:t>Kaunas University of Technology</w:t>
            </w:r>
          </w:p>
        </w:tc>
        <w:tc>
          <w:tcPr>
            <w:tcW w:w="1471" w:type="dxa"/>
            <w:noWrap/>
            <w:hideMark/>
          </w:tcPr>
          <w:p w:rsidR="00B06248" w:rsidRPr="00B06248" w:rsidRDefault="00B06248" w:rsidP="00B06248">
            <w:pPr>
              <w:rPr>
                <w:rFonts w:asciiTheme="majorHAnsi" w:hAnsiTheme="majorHAnsi" w:cstheme="majorHAnsi"/>
              </w:rPr>
            </w:pPr>
            <w:r w:rsidRPr="00B06248">
              <w:rPr>
                <w:rFonts w:asciiTheme="majorHAnsi" w:hAnsiTheme="majorHAnsi" w:cstheme="majorHAnsi"/>
              </w:rPr>
              <w:t>10</w:t>
            </w:r>
          </w:p>
        </w:tc>
      </w:tr>
      <w:tr w:rsidR="00B06248" w:rsidRPr="00B06248" w:rsidTr="00C06559">
        <w:trPr>
          <w:trHeight w:val="300"/>
        </w:trPr>
        <w:tc>
          <w:tcPr>
            <w:tcW w:w="4620" w:type="dxa"/>
            <w:noWrap/>
            <w:hideMark/>
          </w:tcPr>
          <w:p w:rsidR="00B06248" w:rsidRPr="00B06248" w:rsidRDefault="00B06248" w:rsidP="00B06248">
            <w:pPr>
              <w:rPr>
                <w:rFonts w:asciiTheme="majorHAnsi" w:hAnsiTheme="majorHAnsi" w:cstheme="majorHAnsi"/>
              </w:rPr>
            </w:pPr>
            <w:r w:rsidRPr="00B06248">
              <w:rPr>
                <w:rFonts w:asciiTheme="majorHAnsi" w:hAnsiTheme="majorHAnsi" w:cstheme="majorHAnsi"/>
              </w:rPr>
              <w:t>Riga Technical University</w:t>
            </w:r>
          </w:p>
        </w:tc>
        <w:tc>
          <w:tcPr>
            <w:tcW w:w="1471" w:type="dxa"/>
            <w:noWrap/>
            <w:hideMark/>
          </w:tcPr>
          <w:p w:rsidR="00B06248" w:rsidRPr="00B06248" w:rsidRDefault="00B06248" w:rsidP="00B06248">
            <w:pPr>
              <w:rPr>
                <w:rFonts w:asciiTheme="majorHAnsi" w:hAnsiTheme="majorHAnsi" w:cstheme="majorHAnsi"/>
              </w:rPr>
            </w:pPr>
            <w:r w:rsidRPr="00B06248">
              <w:rPr>
                <w:rFonts w:asciiTheme="majorHAnsi" w:hAnsiTheme="majorHAnsi" w:cstheme="majorHAnsi"/>
              </w:rPr>
              <w:t>10</w:t>
            </w:r>
          </w:p>
        </w:tc>
      </w:tr>
      <w:tr w:rsidR="00B06248" w:rsidRPr="00B06248" w:rsidTr="00C06559">
        <w:trPr>
          <w:trHeight w:val="300"/>
        </w:trPr>
        <w:tc>
          <w:tcPr>
            <w:tcW w:w="4620" w:type="dxa"/>
            <w:noWrap/>
            <w:hideMark/>
          </w:tcPr>
          <w:p w:rsidR="00B06248" w:rsidRPr="00B06248" w:rsidRDefault="00B06248" w:rsidP="00B06248">
            <w:pPr>
              <w:rPr>
                <w:rFonts w:asciiTheme="majorHAnsi" w:hAnsiTheme="majorHAnsi" w:cstheme="majorHAnsi"/>
              </w:rPr>
            </w:pPr>
            <w:r w:rsidRPr="00B06248">
              <w:rPr>
                <w:rFonts w:asciiTheme="majorHAnsi" w:hAnsiTheme="majorHAnsi" w:cstheme="majorHAnsi"/>
              </w:rPr>
              <w:t>University of Bergen</w:t>
            </w:r>
          </w:p>
        </w:tc>
        <w:tc>
          <w:tcPr>
            <w:tcW w:w="1471" w:type="dxa"/>
            <w:noWrap/>
            <w:hideMark/>
          </w:tcPr>
          <w:p w:rsidR="00B06248" w:rsidRPr="00B06248" w:rsidRDefault="00B06248" w:rsidP="00B06248">
            <w:pPr>
              <w:rPr>
                <w:rFonts w:asciiTheme="majorHAnsi" w:hAnsiTheme="majorHAnsi" w:cstheme="majorHAnsi"/>
              </w:rPr>
            </w:pPr>
            <w:r w:rsidRPr="00B06248">
              <w:rPr>
                <w:rFonts w:asciiTheme="majorHAnsi" w:hAnsiTheme="majorHAnsi" w:cstheme="majorHAnsi"/>
              </w:rPr>
              <w:t>8</w:t>
            </w:r>
          </w:p>
        </w:tc>
      </w:tr>
      <w:tr w:rsidR="00B06248" w:rsidRPr="00B06248" w:rsidTr="00C06559">
        <w:trPr>
          <w:trHeight w:val="300"/>
        </w:trPr>
        <w:tc>
          <w:tcPr>
            <w:tcW w:w="4620" w:type="dxa"/>
            <w:noWrap/>
            <w:hideMark/>
          </w:tcPr>
          <w:p w:rsidR="00B06248" w:rsidRPr="00B06248" w:rsidRDefault="00B06248" w:rsidP="00B06248">
            <w:pPr>
              <w:rPr>
                <w:rFonts w:asciiTheme="majorHAnsi" w:hAnsiTheme="majorHAnsi" w:cstheme="majorHAnsi"/>
              </w:rPr>
            </w:pPr>
            <w:r w:rsidRPr="00B06248">
              <w:rPr>
                <w:rFonts w:asciiTheme="majorHAnsi" w:hAnsiTheme="majorHAnsi" w:cstheme="majorHAnsi"/>
              </w:rPr>
              <w:t>Lithuanian University of Health Sciences</w:t>
            </w:r>
          </w:p>
        </w:tc>
        <w:tc>
          <w:tcPr>
            <w:tcW w:w="1471" w:type="dxa"/>
            <w:noWrap/>
            <w:hideMark/>
          </w:tcPr>
          <w:p w:rsidR="00B06248" w:rsidRPr="00B06248" w:rsidRDefault="00B06248" w:rsidP="00B06248">
            <w:pPr>
              <w:rPr>
                <w:rFonts w:asciiTheme="majorHAnsi" w:hAnsiTheme="majorHAnsi" w:cstheme="majorHAnsi"/>
              </w:rPr>
            </w:pPr>
            <w:r w:rsidRPr="00B06248">
              <w:rPr>
                <w:rFonts w:asciiTheme="majorHAnsi" w:hAnsiTheme="majorHAnsi" w:cstheme="majorHAnsi"/>
              </w:rPr>
              <w:t>7</w:t>
            </w:r>
          </w:p>
        </w:tc>
      </w:tr>
      <w:tr w:rsidR="00B06248" w:rsidRPr="00B06248" w:rsidTr="00C06559">
        <w:trPr>
          <w:trHeight w:val="300"/>
        </w:trPr>
        <w:tc>
          <w:tcPr>
            <w:tcW w:w="4620" w:type="dxa"/>
            <w:noWrap/>
            <w:hideMark/>
          </w:tcPr>
          <w:p w:rsidR="00B06248" w:rsidRPr="00B06248" w:rsidRDefault="00B06248" w:rsidP="00B06248">
            <w:pPr>
              <w:rPr>
                <w:rFonts w:asciiTheme="majorHAnsi" w:hAnsiTheme="majorHAnsi" w:cstheme="majorHAnsi"/>
              </w:rPr>
            </w:pPr>
            <w:r w:rsidRPr="00B06248">
              <w:rPr>
                <w:rFonts w:asciiTheme="majorHAnsi" w:hAnsiTheme="majorHAnsi" w:cstheme="majorHAnsi"/>
              </w:rPr>
              <w:t>University of Iceland</w:t>
            </w:r>
          </w:p>
        </w:tc>
        <w:tc>
          <w:tcPr>
            <w:tcW w:w="1471" w:type="dxa"/>
            <w:noWrap/>
            <w:hideMark/>
          </w:tcPr>
          <w:p w:rsidR="00B06248" w:rsidRPr="00B06248" w:rsidRDefault="00B06248" w:rsidP="00B06248">
            <w:pPr>
              <w:rPr>
                <w:rFonts w:asciiTheme="majorHAnsi" w:hAnsiTheme="majorHAnsi" w:cstheme="majorHAnsi"/>
              </w:rPr>
            </w:pPr>
            <w:r w:rsidRPr="00B06248">
              <w:rPr>
                <w:rFonts w:asciiTheme="majorHAnsi" w:hAnsiTheme="majorHAnsi" w:cstheme="majorHAnsi"/>
              </w:rPr>
              <w:t>7</w:t>
            </w:r>
          </w:p>
        </w:tc>
      </w:tr>
      <w:tr w:rsidR="00B06248" w:rsidRPr="00B06248" w:rsidTr="00C06559">
        <w:trPr>
          <w:trHeight w:val="300"/>
        </w:trPr>
        <w:tc>
          <w:tcPr>
            <w:tcW w:w="4620" w:type="dxa"/>
            <w:noWrap/>
            <w:hideMark/>
          </w:tcPr>
          <w:p w:rsidR="00B06248" w:rsidRPr="00B06248" w:rsidRDefault="00B06248" w:rsidP="00B06248">
            <w:pPr>
              <w:rPr>
                <w:rFonts w:asciiTheme="majorHAnsi" w:hAnsiTheme="majorHAnsi" w:cstheme="majorHAnsi"/>
              </w:rPr>
            </w:pPr>
            <w:r w:rsidRPr="00B06248">
              <w:rPr>
                <w:rFonts w:asciiTheme="majorHAnsi" w:hAnsiTheme="majorHAnsi" w:cstheme="majorHAnsi"/>
              </w:rPr>
              <w:t>University of Oslo</w:t>
            </w:r>
          </w:p>
        </w:tc>
        <w:tc>
          <w:tcPr>
            <w:tcW w:w="1471" w:type="dxa"/>
            <w:noWrap/>
            <w:hideMark/>
          </w:tcPr>
          <w:p w:rsidR="00B06248" w:rsidRPr="00B06248" w:rsidRDefault="00B06248" w:rsidP="00B06248">
            <w:pPr>
              <w:rPr>
                <w:rFonts w:asciiTheme="majorHAnsi" w:hAnsiTheme="majorHAnsi" w:cstheme="majorHAnsi"/>
              </w:rPr>
            </w:pPr>
            <w:r w:rsidRPr="00B06248">
              <w:rPr>
                <w:rFonts w:asciiTheme="majorHAnsi" w:hAnsiTheme="majorHAnsi" w:cstheme="majorHAnsi"/>
              </w:rPr>
              <w:t>7</w:t>
            </w:r>
          </w:p>
        </w:tc>
      </w:tr>
      <w:tr w:rsidR="00B06248" w:rsidRPr="00B06248" w:rsidTr="00C06559">
        <w:trPr>
          <w:trHeight w:val="300"/>
        </w:trPr>
        <w:tc>
          <w:tcPr>
            <w:tcW w:w="4620" w:type="dxa"/>
            <w:noWrap/>
            <w:hideMark/>
          </w:tcPr>
          <w:p w:rsidR="00B06248" w:rsidRPr="00B06248" w:rsidRDefault="00B06248" w:rsidP="00B06248">
            <w:pPr>
              <w:rPr>
                <w:rFonts w:asciiTheme="majorHAnsi" w:hAnsiTheme="majorHAnsi" w:cstheme="majorHAnsi"/>
              </w:rPr>
            </w:pPr>
            <w:r w:rsidRPr="00B06248">
              <w:rPr>
                <w:rFonts w:asciiTheme="majorHAnsi" w:hAnsiTheme="majorHAnsi" w:cstheme="majorHAnsi"/>
              </w:rPr>
              <w:t>Estonian University of Life Sciences</w:t>
            </w:r>
          </w:p>
        </w:tc>
        <w:tc>
          <w:tcPr>
            <w:tcW w:w="1471" w:type="dxa"/>
            <w:noWrap/>
            <w:hideMark/>
          </w:tcPr>
          <w:p w:rsidR="00B06248" w:rsidRPr="00B06248" w:rsidRDefault="00B06248" w:rsidP="00B06248">
            <w:pPr>
              <w:rPr>
                <w:rFonts w:asciiTheme="majorHAnsi" w:hAnsiTheme="majorHAnsi" w:cstheme="majorHAnsi"/>
              </w:rPr>
            </w:pPr>
            <w:r w:rsidRPr="00B06248">
              <w:rPr>
                <w:rFonts w:asciiTheme="majorHAnsi" w:hAnsiTheme="majorHAnsi" w:cstheme="majorHAnsi"/>
              </w:rPr>
              <w:t>6</w:t>
            </w:r>
          </w:p>
        </w:tc>
      </w:tr>
      <w:tr w:rsidR="00B06248" w:rsidRPr="00B06248" w:rsidTr="00C06559">
        <w:trPr>
          <w:trHeight w:val="300"/>
        </w:trPr>
        <w:tc>
          <w:tcPr>
            <w:tcW w:w="4620" w:type="dxa"/>
            <w:noWrap/>
            <w:hideMark/>
          </w:tcPr>
          <w:p w:rsidR="00B06248" w:rsidRPr="00B06248" w:rsidRDefault="00B06248" w:rsidP="00B06248">
            <w:pPr>
              <w:rPr>
                <w:rFonts w:asciiTheme="majorHAnsi" w:hAnsiTheme="majorHAnsi" w:cstheme="majorHAnsi"/>
              </w:rPr>
            </w:pPr>
            <w:r w:rsidRPr="00B06248">
              <w:rPr>
                <w:rFonts w:asciiTheme="majorHAnsi" w:hAnsiTheme="majorHAnsi" w:cstheme="majorHAnsi"/>
              </w:rPr>
              <w:t>University of Stavanger</w:t>
            </w:r>
          </w:p>
        </w:tc>
        <w:tc>
          <w:tcPr>
            <w:tcW w:w="1471" w:type="dxa"/>
            <w:noWrap/>
            <w:hideMark/>
          </w:tcPr>
          <w:p w:rsidR="00B06248" w:rsidRPr="00B06248" w:rsidRDefault="00B06248" w:rsidP="00B06248">
            <w:pPr>
              <w:rPr>
                <w:rFonts w:asciiTheme="majorHAnsi" w:hAnsiTheme="majorHAnsi" w:cstheme="majorHAnsi"/>
              </w:rPr>
            </w:pPr>
            <w:r w:rsidRPr="00B06248">
              <w:rPr>
                <w:rFonts w:asciiTheme="majorHAnsi" w:hAnsiTheme="majorHAnsi" w:cstheme="majorHAnsi"/>
              </w:rPr>
              <w:t>6</w:t>
            </w:r>
          </w:p>
        </w:tc>
      </w:tr>
      <w:tr w:rsidR="00B06248" w:rsidRPr="00B06248" w:rsidTr="00C06559">
        <w:trPr>
          <w:trHeight w:val="300"/>
        </w:trPr>
        <w:tc>
          <w:tcPr>
            <w:tcW w:w="4620" w:type="dxa"/>
            <w:noWrap/>
            <w:hideMark/>
          </w:tcPr>
          <w:p w:rsidR="00B06248" w:rsidRPr="00B06248" w:rsidRDefault="00B06248" w:rsidP="00B06248">
            <w:pPr>
              <w:rPr>
                <w:rFonts w:asciiTheme="majorHAnsi" w:hAnsiTheme="majorHAnsi" w:cstheme="majorHAnsi"/>
              </w:rPr>
            </w:pPr>
            <w:r w:rsidRPr="00B06248">
              <w:rPr>
                <w:rFonts w:asciiTheme="majorHAnsi" w:hAnsiTheme="majorHAnsi" w:cstheme="majorHAnsi"/>
              </w:rPr>
              <w:t>Vytautas Magnus University</w:t>
            </w:r>
          </w:p>
        </w:tc>
        <w:tc>
          <w:tcPr>
            <w:tcW w:w="1471" w:type="dxa"/>
            <w:noWrap/>
            <w:hideMark/>
          </w:tcPr>
          <w:p w:rsidR="00B06248" w:rsidRPr="00B06248" w:rsidRDefault="00B06248" w:rsidP="00B06248">
            <w:pPr>
              <w:rPr>
                <w:rFonts w:asciiTheme="majorHAnsi" w:hAnsiTheme="majorHAnsi" w:cstheme="majorHAnsi"/>
              </w:rPr>
            </w:pPr>
            <w:r w:rsidRPr="00B06248">
              <w:rPr>
                <w:rFonts w:asciiTheme="majorHAnsi" w:hAnsiTheme="majorHAnsi" w:cstheme="majorHAnsi"/>
              </w:rPr>
              <w:t>6</w:t>
            </w:r>
          </w:p>
        </w:tc>
      </w:tr>
    </w:tbl>
    <w:p w:rsidR="00B06248" w:rsidRDefault="00B06248" w:rsidP="00366745">
      <w:pPr>
        <w:spacing w:after="0"/>
        <w:rPr>
          <w:rFonts w:asciiTheme="majorHAnsi" w:hAnsiTheme="majorHAnsi" w:cstheme="majorHAnsi"/>
        </w:rPr>
      </w:pPr>
    </w:p>
    <w:p w:rsidR="004B0AD0" w:rsidRPr="00084701" w:rsidRDefault="00B06248" w:rsidP="00366745">
      <w:pPr>
        <w:spacing w:after="0"/>
        <w:rPr>
          <w:rFonts w:asciiTheme="majorHAnsi" w:hAnsiTheme="majorHAnsi" w:cstheme="majorHAnsi"/>
        </w:rPr>
      </w:pPr>
      <w:r>
        <w:rPr>
          <w:rFonts w:asciiTheme="majorHAnsi" w:hAnsiTheme="majorHAnsi" w:cstheme="majorHAnsi"/>
        </w:rPr>
        <w:t>Kokku on taotlustes mainitud 263 partnerasutust ning nimeliselt 420 partnerit.</w:t>
      </w:r>
    </w:p>
    <w:p w:rsidR="004B0AD0" w:rsidRPr="00084701" w:rsidRDefault="004B0AD0" w:rsidP="00366745">
      <w:pPr>
        <w:spacing w:after="0"/>
        <w:rPr>
          <w:rFonts w:asciiTheme="majorHAnsi" w:hAnsiTheme="majorHAnsi" w:cstheme="majorHAnsi"/>
        </w:rPr>
      </w:pPr>
      <w:r w:rsidRPr="00084701">
        <w:rPr>
          <w:rFonts w:asciiTheme="majorHAnsi" w:hAnsiTheme="majorHAnsi" w:cstheme="majorHAnsi"/>
        </w:rPr>
        <w:lastRenderedPageBreak/>
        <w:t>40 taotlust on märkinud, et nende projektis on vajalik eetikakomitee luba või hoolsusdeklaratsioon, 3 taotluses on märgitud puutumus Nagoya protokolliga</w:t>
      </w:r>
      <w:r w:rsidR="006211AE" w:rsidRPr="00084701">
        <w:rPr>
          <w:rFonts w:asciiTheme="majorHAnsi" w:hAnsiTheme="majorHAnsi" w:cstheme="majorHAnsi"/>
        </w:rPr>
        <w:t>, vajalik järgida Nagoya protokolli</w:t>
      </w:r>
      <w:r w:rsidRPr="00084701">
        <w:rPr>
          <w:rFonts w:asciiTheme="majorHAnsi" w:hAnsiTheme="majorHAnsi" w:cstheme="majorHAnsi"/>
        </w:rPr>
        <w:t>.</w:t>
      </w:r>
    </w:p>
    <w:sectPr w:rsidR="004B0AD0" w:rsidRPr="00084701" w:rsidSect="00E81732">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9C4" w:rsidRDefault="004249C4" w:rsidP="00776529">
      <w:pPr>
        <w:spacing w:after="0" w:line="240" w:lineRule="auto"/>
      </w:pPr>
      <w:r>
        <w:separator/>
      </w:r>
    </w:p>
  </w:endnote>
  <w:endnote w:type="continuationSeparator" w:id="0">
    <w:p w:rsidR="004249C4" w:rsidRDefault="004249C4" w:rsidP="00776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1124980"/>
      <w:docPartObj>
        <w:docPartGallery w:val="Page Numbers (Bottom of Page)"/>
        <w:docPartUnique/>
      </w:docPartObj>
    </w:sdtPr>
    <w:sdtEndPr/>
    <w:sdtContent>
      <w:p w:rsidR="00776529" w:rsidRDefault="00776529">
        <w:pPr>
          <w:pStyle w:val="Jalus"/>
          <w:jc w:val="right"/>
        </w:pPr>
        <w:r>
          <w:fldChar w:fldCharType="begin"/>
        </w:r>
        <w:r>
          <w:instrText>PAGE   \* MERGEFORMAT</w:instrText>
        </w:r>
        <w:r>
          <w:fldChar w:fldCharType="separate"/>
        </w:r>
        <w:r w:rsidR="00FF7DDA">
          <w:rPr>
            <w:noProof/>
          </w:rPr>
          <w:t>2</w:t>
        </w:r>
        <w:r>
          <w:fldChar w:fldCharType="end"/>
        </w:r>
      </w:p>
    </w:sdtContent>
  </w:sdt>
  <w:p w:rsidR="00776529" w:rsidRDefault="00776529">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9C4" w:rsidRDefault="004249C4" w:rsidP="00776529">
      <w:pPr>
        <w:spacing w:after="0" w:line="240" w:lineRule="auto"/>
      </w:pPr>
      <w:r>
        <w:separator/>
      </w:r>
    </w:p>
  </w:footnote>
  <w:footnote w:type="continuationSeparator" w:id="0">
    <w:p w:rsidR="004249C4" w:rsidRDefault="004249C4" w:rsidP="007765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DAE"/>
    <w:rsid w:val="00084701"/>
    <w:rsid w:val="000A57DB"/>
    <w:rsid w:val="000C3D44"/>
    <w:rsid w:val="002476C2"/>
    <w:rsid w:val="0027080F"/>
    <w:rsid w:val="00366745"/>
    <w:rsid w:val="003E6B23"/>
    <w:rsid w:val="004249C4"/>
    <w:rsid w:val="004B0AD0"/>
    <w:rsid w:val="0055209F"/>
    <w:rsid w:val="005A6EC4"/>
    <w:rsid w:val="005F1192"/>
    <w:rsid w:val="006211AE"/>
    <w:rsid w:val="00682153"/>
    <w:rsid w:val="006C6732"/>
    <w:rsid w:val="006D2443"/>
    <w:rsid w:val="00776529"/>
    <w:rsid w:val="007865F6"/>
    <w:rsid w:val="008563E0"/>
    <w:rsid w:val="009622EC"/>
    <w:rsid w:val="009D4894"/>
    <w:rsid w:val="00B006C3"/>
    <w:rsid w:val="00B06248"/>
    <w:rsid w:val="00B51277"/>
    <w:rsid w:val="00B87F0F"/>
    <w:rsid w:val="00C06559"/>
    <w:rsid w:val="00DA609A"/>
    <w:rsid w:val="00E73DAE"/>
    <w:rsid w:val="00E81732"/>
    <w:rsid w:val="00EE4BB7"/>
    <w:rsid w:val="00FD01BD"/>
    <w:rsid w:val="00FF7DD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460245-6434-459F-9A87-553CDAED0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E73DAE"/>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styleId="Kontuurtabel">
    <w:name w:val="Table Grid"/>
    <w:basedOn w:val="Normaaltabel"/>
    <w:uiPriority w:val="39"/>
    <w:rsid w:val="00B06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s">
    <w:name w:val="header"/>
    <w:basedOn w:val="Normaallaad"/>
    <w:link w:val="PisMrk"/>
    <w:uiPriority w:val="99"/>
    <w:unhideWhenUsed/>
    <w:rsid w:val="00776529"/>
    <w:pPr>
      <w:tabs>
        <w:tab w:val="center" w:pos="4536"/>
        <w:tab w:val="right" w:pos="9072"/>
      </w:tabs>
      <w:spacing w:after="0" w:line="240" w:lineRule="auto"/>
    </w:pPr>
  </w:style>
  <w:style w:type="character" w:customStyle="1" w:styleId="PisMrk">
    <w:name w:val="Päis Märk"/>
    <w:basedOn w:val="Liguvaikefont"/>
    <w:link w:val="Pis"/>
    <w:uiPriority w:val="99"/>
    <w:rsid w:val="00776529"/>
  </w:style>
  <w:style w:type="paragraph" w:styleId="Jalus">
    <w:name w:val="footer"/>
    <w:basedOn w:val="Normaallaad"/>
    <w:link w:val="JalusMrk"/>
    <w:uiPriority w:val="99"/>
    <w:unhideWhenUsed/>
    <w:rsid w:val="00776529"/>
    <w:pPr>
      <w:tabs>
        <w:tab w:val="center" w:pos="4536"/>
        <w:tab w:val="right" w:pos="9072"/>
      </w:tabs>
      <w:spacing w:after="0" w:line="240" w:lineRule="auto"/>
    </w:pPr>
  </w:style>
  <w:style w:type="character" w:customStyle="1" w:styleId="JalusMrk">
    <w:name w:val="Jalus Märk"/>
    <w:basedOn w:val="Liguvaikefont"/>
    <w:link w:val="Jalus"/>
    <w:uiPriority w:val="99"/>
    <w:rsid w:val="00776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642512">
      <w:bodyDiv w:val="1"/>
      <w:marLeft w:val="0"/>
      <w:marRight w:val="0"/>
      <w:marTop w:val="0"/>
      <w:marBottom w:val="0"/>
      <w:divBdr>
        <w:top w:val="none" w:sz="0" w:space="0" w:color="auto"/>
        <w:left w:val="none" w:sz="0" w:space="0" w:color="auto"/>
        <w:bottom w:val="none" w:sz="0" w:space="0" w:color="auto"/>
        <w:right w:val="none" w:sz="0" w:space="0" w:color="auto"/>
      </w:divBdr>
    </w:div>
    <w:div w:id="1528255800">
      <w:bodyDiv w:val="1"/>
      <w:marLeft w:val="0"/>
      <w:marRight w:val="0"/>
      <w:marTop w:val="0"/>
      <w:marBottom w:val="0"/>
      <w:divBdr>
        <w:top w:val="none" w:sz="0" w:space="0" w:color="auto"/>
        <w:left w:val="none" w:sz="0" w:space="0" w:color="auto"/>
        <w:bottom w:val="none" w:sz="0" w:space="0" w:color="auto"/>
        <w:right w:val="none" w:sz="0" w:space="0" w:color="auto"/>
      </w:divBdr>
    </w:div>
    <w:div w:id="1586986851">
      <w:bodyDiv w:val="1"/>
      <w:marLeft w:val="0"/>
      <w:marRight w:val="0"/>
      <w:marTop w:val="0"/>
      <w:marBottom w:val="0"/>
      <w:divBdr>
        <w:top w:val="none" w:sz="0" w:space="0" w:color="auto"/>
        <w:left w:val="none" w:sz="0" w:space="0" w:color="auto"/>
        <w:bottom w:val="none" w:sz="0" w:space="0" w:color="auto"/>
        <w:right w:val="none" w:sz="0" w:space="0" w:color="auto"/>
      </w:divBdr>
    </w:div>
    <w:div w:id="1767460168">
      <w:bodyDiv w:val="1"/>
      <w:marLeft w:val="0"/>
      <w:marRight w:val="0"/>
      <w:marTop w:val="0"/>
      <w:marBottom w:val="0"/>
      <w:divBdr>
        <w:top w:val="none" w:sz="0" w:space="0" w:color="auto"/>
        <w:left w:val="none" w:sz="0" w:space="0" w:color="auto"/>
        <w:bottom w:val="none" w:sz="0" w:space="0" w:color="auto"/>
        <w:right w:val="none" w:sz="0" w:space="0" w:color="auto"/>
      </w:divBdr>
    </w:div>
    <w:div w:id="177065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webSettings" Target="web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hart" Target="charts/chart4.xml"/><Relationship Id="rId4" Type="http://schemas.openxmlformats.org/officeDocument/2006/relationships/footnotes" Target="footnote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oleObject" Target="file:///\\riik.sise\user\etaguser$\maarja.sillaste\Maarja%20Sillastele\AO\Norra%20programm\Andmestik.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i_t__leh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riik.sise\user\etaguser$\maarja.sillaste\Maarja%20Sillastele\AO\Norra%20programm\Andmestik.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riik.sise\user\etaguser$\maarja.sillaste\Maarja%20Sillastele\AO\Norra%20programm\Andmestik.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9585498687664041"/>
          <c:y val="0.10680664916885389"/>
          <c:w val="0.47217891513560806"/>
          <c:h val="0.78696485855934672"/>
        </c:manualLayout>
      </c:layout>
      <c:pieChart>
        <c:varyColors val="1"/>
        <c:ser>
          <c:idx val="0"/>
          <c:order val="0"/>
          <c:tx>
            <c:strRef>
              <c:f>Tabelid!$B$37</c:f>
              <c:strCache>
                <c:ptCount val="1"/>
                <c:pt idx="0">
                  <c:v>Taotlejate arv</c:v>
                </c:pt>
              </c:strCache>
            </c:strRef>
          </c:tx>
          <c:spPr>
            <a:solidFill>
              <a:srgbClr val="959494"/>
            </a:solidFill>
          </c:spPr>
          <c:dPt>
            <c:idx val="0"/>
            <c:bubble3D val="0"/>
            <c:spPr>
              <a:solidFill>
                <a:srgbClr val="959494"/>
              </a:solidFill>
              <a:ln w="19050">
                <a:solidFill>
                  <a:schemeClr val="lt1"/>
                </a:solidFill>
              </a:ln>
              <a:effectLst/>
            </c:spPr>
            <c:extLst xmlns:c16r2="http://schemas.microsoft.com/office/drawing/2015/06/chart">
              <c:ext xmlns:c16="http://schemas.microsoft.com/office/drawing/2014/chart" uri="{C3380CC4-5D6E-409C-BE32-E72D297353CC}">
                <c16:uniqueId val="{00000001-5B1D-4EE8-9EED-2D704D3DC576}"/>
              </c:ext>
            </c:extLst>
          </c:dPt>
          <c:dPt>
            <c:idx val="1"/>
            <c:bubble3D val="0"/>
            <c:spPr>
              <a:solidFill>
                <a:srgbClr val="8560C5"/>
              </a:solidFill>
              <a:ln w="19050">
                <a:solidFill>
                  <a:schemeClr val="lt1"/>
                </a:solidFill>
              </a:ln>
              <a:effectLst/>
            </c:spPr>
            <c:extLst xmlns:c16r2="http://schemas.microsoft.com/office/drawing/2015/06/chart">
              <c:ext xmlns:c16="http://schemas.microsoft.com/office/drawing/2014/chart" uri="{C3380CC4-5D6E-409C-BE32-E72D297353CC}">
                <c16:uniqueId val="{00000003-5B1D-4EE8-9EED-2D704D3DC576}"/>
              </c:ext>
            </c:extLst>
          </c:dPt>
          <c:dLbls>
            <c:dLbl>
              <c:idx val="0"/>
              <c:tx>
                <c:rich>
                  <a:bodyPr/>
                  <a:lstStyle/>
                  <a:p>
                    <a:fld id="{74999424-315B-429C-97E4-3E61FC52F00C}" type="CELLRANGE">
                      <a:rPr lang="en-US"/>
                      <a:pPr/>
                      <a:t>[CELLRANGE]</a:t>
                    </a:fld>
                    <a:endParaRPr lang="en-US" baseline="0"/>
                  </a:p>
                  <a:p>
                    <a:fld id="{7E5BC2AF-E338-46FA-A45B-C2410C154A07}" type="VALUE">
                      <a:rPr lang="en-US"/>
                      <a:pPr/>
                      <a:t>[VÄÄRTUS]</a:t>
                    </a:fld>
                    <a:endParaRPr lang="et-EE"/>
                  </a:p>
                </c:rich>
              </c:tx>
              <c:dLblPos val="bestFit"/>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01-5B1D-4EE8-9EED-2D704D3DC576}"/>
                </c:ext>
                <c:ext xmlns:c15="http://schemas.microsoft.com/office/drawing/2012/chart" uri="{CE6537A1-D6FC-4f65-9D91-7224C49458BB}">
                  <c15:dlblFieldTable/>
                  <c15:showDataLabelsRange val="1"/>
                </c:ext>
              </c:extLst>
            </c:dLbl>
            <c:dLbl>
              <c:idx val="1"/>
              <c:tx>
                <c:rich>
                  <a:bodyPr/>
                  <a:lstStyle/>
                  <a:p>
                    <a:fld id="{A50AC0E3-E266-4C30-A27F-7DA45A01B925}" type="CELLRANGE">
                      <a:rPr lang="en-US"/>
                      <a:pPr/>
                      <a:t>[CELLRANGE]</a:t>
                    </a:fld>
                    <a:endParaRPr lang="en-US" baseline="0"/>
                  </a:p>
                  <a:p>
                    <a:fld id="{A50CAAE4-5B82-4CB3-9212-52FF1053EFE4}" type="VALUE">
                      <a:rPr lang="en-US"/>
                      <a:pPr/>
                      <a:t>[VÄÄRTUS]</a:t>
                    </a:fld>
                    <a:endParaRPr lang="et-EE"/>
                  </a:p>
                </c:rich>
              </c:tx>
              <c:dLblPos val="bestFit"/>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03-5B1D-4EE8-9EED-2D704D3DC576}"/>
                </c:ext>
                <c:ext xmlns:c15="http://schemas.microsoft.com/office/drawing/2012/chart" uri="{CE6537A1-D6FC-4f65-9D91-7224C49458BB}">
                  <c15:dlblFieldTable/>
                  <c15:showDataLabelsRange val="1"/>
                </c:ext>
              </c:extLst>
            </c:dLbl>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t-EE"/>
              </a:p>
            </c:txPr>
            <c:dLblPos val="bestFit"/>
            <c:showLegendKey val="0"/>
            <c:showVal val="1"/>
            <c:showCatName val="0"/>
            <c:showSerName val="0"/>
            <c:showPercent val="0"/>
            <c:showBubbleSize val="0"/>
            <c:separator>
</c:separator>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showDataLabelsRange val="1"/>
              </c:ext>
            </c:extLst>
          </c:dLbls>
          <c:cat>
            <c:strRef>
              <c:f>Tabelid!$A$38:$A$39</c:f>
              <c:strCache>
                <c:ptCount val="2"/>
                <c:pt idx="0">
                  <c:v>Mees</c:v>
                </c:pt>
                <c:pt idx="1">
                  <c:v>Naine</c:v>
                </c:pt>
              </c:strCache>
            </c:strRef>
          </c:cat>
          <c:val>
            <c:numRef>
              <c:f>Tabelid!$B$38:$B$39</c:f>
              <c:numCache>
                <c:formatCode>General</c:formatCode>
                <c:ptCount val="2"/>
                <c:pt idx="0">
                  <c:v>84</c:v>
                </c:pt>
                <c:pt idx="1">
                  <c:v>46</c:v>
                </c:pt>
              </c:numCache>
            </c:numRef>
          </c:val>
          <c:extLst xmlns:c16r2="http://schemas.microsoft.com/office/drawing/2015/06/chart">
            <c:ext xmlns:c16="http://schemas.microsoft.com/office/drawing/2014/chart" uri="{C3380CC4-5D6E-409C-BE32-E72D297353CC}">
              <c16:uniqueId val="{00000004-5B1D-4EE8-9EED-2D704D3DC576}"/>
            </c:ext>
            <c:ext xmlns:c15="http://schemas.microsoft.com/office/drawing/2012/chart" uri="{02D57815-91ED-43cb-92C2-25804820EDAC}">
              <c15:datalabelsRange>
                <c15:f>Tabelid!$C$38:$C$39</c15:f>
                <c15:dlblRangeCache>
                  <c:ptCount val="2"/>
                  <c:pt idx="0">
                    <c:v>65%</c:v>
                  </c:pt>
                  <c:pt idx="1">
                    <c:v>35%</c:v>
                  </c:pt>
                </c15:dlblRangeCache>
              </c15:datalabelsRange>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2.3651934019196505E-2"/>
          <c:y val="0.79657004553262956"/>
          <c:w val="0.39795160641416172"/>
          <c:h val="0.1466578538996494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t-EE"/>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t-E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84078922311367"/>
          <c:y val="0.10610637212015164"/>
          <c:w val="0.7004876756336057"/>
          <c:h val="0.77102289297171189"/>
        </c:manualLayout>
      </c:layout>
      <c:pieChart>
        <c:varyColors val="1"/>
        <c:ser>
          <c:idx val="0"/>
          <c:order val="0"/>
          <c:spPr>
            <a:solidFill>
              <a:srgbClr val="959494"/>
            </a:solidFill>
          </c:spPr>
          <c:dPt>
            <c:idx val="0"/>
            <c:bubble3D val="0"/>
            <c:spPr>
              <a:solidFill>
                <a:srgbClr val="959494"/>
              </a:solidFill>
              <a:ln w="19050">
                <a:solidFill>
                  <a:schemeClr val="lt1"/>
                </a:solidFill>
              </a:ln>
              <a:effectLst/>
            </c:spPr>
            <c:extLst xmlns:c16r2="http://schemas.microsoft.com/office/drawing/2015/06/chart">
              <c:ext xmlns:c16="http://schemas.microsoft.com/office/drawing/2014/chart" uri="{C3380CC4-5D6E-409C-BE32-E72D297353CC}">
                <c16:uniqueId val="{00000001-A416-410F-A0A8-1E0276B942F2}"/>
              </c:ext>
            </c:extLst>
          </c:dPt>
          <c:dPt>
            <c:idx val="1"/>
            <c:bubble3D val="0"/>
            <c:spPr>
              <a:solidFill>
                <a:srgbClr val="8560C5"/>
              </a:solidFill>
              <a:ln w="19050">
                <a:solidFill>
                  <a:schemeClr val="lt1"/>
                </a:solidFill>
              </a:ln>
              <a:effectLst/>
            </c:spPr>
            <c:extLst xmlns:c16r2="http://schemas.microsoft.com/office/drawing/2015/06/chart">
              <c:ext xmlns:c16="http://schemas.microsoft.com/office/drawing/2014/chart" uri="{C3380CC4-5D6E-409C-BE32-E72D297353CC}">
                <c16:uniqueId val="{00000003-A416-410F-A0A8-1E0276B942F2}"/>
              </c:ext>
            </c:extLst>
          </c:dPt>
          <c:dLbls>
            <c:dLbl>
              <c:idx val="0"/>
              <c:tx>
                <c:rich>
                  <a:bodyPr/>
                  <a:lstStyle/>
                  <a:p>
                    <a:fld id="{1377369D-8DAD-4BB5-AF6B-4ECBFBE0C839}" type="CELLRANGE">
                      <a:rPr lang="en-US"/>
                      <a:pPr/>
                      <a:t>[CELLRANGE]</a:t>
                    </a:fld>
                    <a:endParaRPr lang="en-US" baseline="0"/>
                  </a:p>
                  <a:p>
                    <a:fld id="{A39E3223-5BC8-4940-BF3B-64EC72214633}" type="VALUE">
                      <a:rPr lang="en-US"/>
                      <a:pPr/>
                      <a:t>[VÄÄRTUS]</a:t>
                    </a:fld>
                    <a:endParaRPr lang="et-EE"/>
                  </a:p>
                </c:rich>
              </c:tx>
              <c:dLblPos val="bestFit"/>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01-A416-410F-A0A8-1E0276B942F2}"/>
                </c:ext>
                <c:ext xmlns:c15="http://schemas.microsoft.com/office/drawing/2012/chart" uri="{CE6537A1-D6FC-4f65-9D91-7224C49458BB}">
                  <c15:dlblFieldTable/>
                  <c15:showDataLabelsRange val="1"/>
                </c:ext>
              </c:extLst>
            </c:dLbl>
            <c:dLbl>
              <c:idx val="1"/>
              <c:tx>
                <c:rich>
                  <a:bodyPr/>
                  <a:lstStyle/>
                  <a:p>
                    <a:fld id="{A6319E64-EE17-4D6E-BF0A-C0AF74596097}" type="CELLRANGE">
                      <a:rPr lang="en-US"/>
                      <a:pPr/>
                      <a:t>[CELLRANGE]</a:t>
                    </a:fld>
                    <a:endParaRPr lang="en-US" baseline="0"/>
                  </a:p>
                  <a:p>
                    <a:fld id="{CF5B46DE-A439-46BF-B2F3-1E6490348C49}" type="VALUE">
                      <a:rPr lang="en-US"/>
                      <a:pPr/>
                      <a:t>[VÄÄRTUS]</a:t>
                    </a:fld>
                    <a:endParaRPr lang="et-EE"/>
                  </a:p>
                </c:rich>
              </c:tx>
              <c:dLblPos val="bestFit"/>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03-A416-410F-A0A8-1E0276B942F2}"/>
                </c:ext>
                <c:ext xmlns:c15="http://schemas.microsoft.com/office/drawing/2012/chart" uri="{CE6537A1-D6FC-4f65-9D91-7224C49458BB}">
                  <c15:dlblFieldTable/>
                  <c15:showDataLabelsRange val="1"/>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t-EE"/>
              </a:p>
            </c:txPr>
            <c:dLblPos val="bestFit"/>
            <c:showLegendKey val="0"/>
            <c:showVal val="1"/>
            <c:showCatName val="0"/>
            <c:showSerName val="0"/>
            <c:showPercent val="0"/>
            <c:showBubbleSize val="0"/>
            <c:separator>
</c:separator>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showDataLabelsRange val="1"/>
              </c:ext>
            </c:extLst>
          </c:dLbls>
          <c:cat>
            <c:strRef>
              <c:f>Leht1!$F$3:$F$4</c:f>
              <c:strCache>
                <c:ptCount val="2"/>
                <c:pt idx="0">
                  <c:v>Mees</c:v>
                </c:pt>
                <c:pt idx="1">
                  <c:v>Naine</c:v>
                </c:pt>
              </c:strCache>
            </c:strRef>
          </c:cat>
          <c:val>
            <c:numRef>
              <c:f>Leht1!$G$3:$G$4</c:f>
              <c:numCache>
                <c:formatCode>General</c:formatCode>
                <c:ptCount val="2"/>
                <c:pt idx="0">
                  <c:v>270</c:v>
                </c:pt>
                <c:pt idx="1">
                  <c:v>216</c:v>
                </c:pt>
              </c:numCache>
            </c:numRef>
          </c:val>
          <c:extLst xmlns:c16r2="http://schemas.microsoft.com/office/drawing/2015/06/chart">
            <c:ext xmlns:c16="http://schemas.microsoft.com/office/drawing/2014/chart" uri="{C3380CC4-5D6E-409C-BE32-E72D297353CC}">
              <c16:uniqueId val="{00000004-A416-410F-A0A8-1E0276B942F2}"/>
            </c:ext>
            <c:ext xmlns:c15="http://schemas.microsoft.com/office/drawing/2012/chart" uri="{02D57815-91ED-43cb-92C2-25804820EDAC}">
              <c15:datalabelsRange>
                <c15:f>Leht1!$H$3:$H$4</c15:f>
                <c15:dlblRangeCache>
                  <c:ptCount val="2"/>
                  <c:pt idx="0">
                    <c:v>56%</c:v>
                  </c:pt>
                  <c:pt idx="1">
                    <c:v>44%</c:v>
                  </c:pt>
                </c15:dlblRangeCache>
              </c15:datalabelsRange>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3.7773435254899693E-2"/>
          <c:y val="0.79484453129490196"/>
          <c:w val="0.36484204073031024"/>
          <c:h val="0.15649366821847999"/>
        </c:manualLayout>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t-EE"/>
        </a:p>
      </c:txPr>
    </c:legend>
    <c:plotVisOnly val="1"/>
    <c:dispBlanksAs val="gap"/>
    <c:showDLblsOverMax val="0"/>
  </c:chart>
  <c:spPr>
    <a:solidFill>
      <a:schemeClr val="bg1"/>
    </a:solidFill>
    <a:ln w="9525" cap="flat" cmpd="sng" algn="ctr">
      <a:noFill/>
      <a:round/>
    </a:ln>
    <a:effectLst/>
  </c:spPr>
  <c:txPr>
    <a:bodyPr/>
    <a:lstStyle/>
    <a:p>
      <a:pPr>
        <a:defRPr sz="1100">
          <a:solidFill>
            <a:sysClr val="windowText" lastClr="000000"/>
          </a:solidFill>
        </a:defRPr>
      </a:pPr>
      <a:endParaRPr lang="et-EE"/>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888648293963254"/>
          <c:y val="5.0925925925925923E-2"/>
          <c:w val="0.84055796150481188"/>
          <c:h val="0.78412839020122471"/>
        </c:manualLayout>
      </c:layout>
      <c:barChart>
        <c:barDir val="col"/>
        <c:grouping val="clustered"/>
        <c:varyColors val="0"/>
        <c:ser>
          <c:idx val="0"/>
          <c:order val="0"/>
          <c:tx>
            <c:strRef>
              <c:f>Tabelid!$B$46</c:f>
              <c:strCache>
                <c:ptCount val="1"/>
                <c:pt idx="0">
                  <c:v>Taotlejate arv</c:v>
                </c:pt>
              </c:strCache>
            </c:strRef>
          </c:tx>
          <c:spPr>
            <a:solidFill>
              <a:srgbClr val="8560C5"/>
            </a:solidFill>
            <a:ln>
              <a:solidFill>
                <a:schemeClr val="accent1"/>
              </a:solidFill>
            </a:ln>
            <a:effectLst/>
          </c:spPr>
          <c:invertIfNegative val="0"/>
          <c:cat>
            <c:strRef>
              <c:f>Tabelid!$A$47:$A$55</c:f>
              <c:strCache>
                <c:ptCount val="9"/>
                <c:pt idx="0">
                  <c:v>30-34</c:v>
                </c:pt>
                <c:pt idx="1">
                  <c:v>35-39</c:v>
                </c:pt>
                <c:pt idx="2">
                  <c:v>40-44</c:v>
                </c:pt>
                <c:pt idx="3">
                  <c:v>45-49</c:v>
                </c:pt>
                <c:pt idx="4">
                  <c:v>50-54</c:v>
                </c:pt>
                <c:pt idx="5">
                  <c:v>55-59</c:v>
                </c:pt>
                <c:pt idx="6">
                  <c:v>60-64</c:v>
                </c:pt>
                <c:pt idx="7">
                  <c:v>65-69</c:v>
                </c:pt>
                <c:pt idx="8">
                  <c:v>70-74</c:v>
                </c:pt>
              </c:strCache>
            </c:strRef>
          </c:cat>
          <c:val>
            <c:numRef>
              <c:f>Tabelid!$B$47:$B$55</c:f>
              <c:numCache>
                <c:formatCode>General</c:formatCode>
                <c:ptCount val="9"/>
                <c:pt idx="0">
                  <c:v>8</c:v>
                </c:pt>
                <c:pt idx="1">
                  <c:v>25</c:v>
                </c:pt>
                <c:pt idx="2">
                  <c:v>25</c:v>
                </c:pt>
                <c:pt idx="3">
                  <c:v>20</c:v>
                </c:pt>
                <c:pt idx="4">
                  <c:v>20</c:v>
                </c:pt>
                <c:pt idx="5">
                  <c:v>14</c:v>
                </c:pt>
                <c:pt idx="6">
                  <c:v>10</c:v>
                </c:pt>
                <c:pt idx="7">
                  <c:v>6</c:v>
                </c:pt>
                <c:pt idx="8">
                  <c:v>2</c:v>
                </c:pt>
              </c:numCache>
            </c:numRef>
          </c:val>
          <c:extLst xmlns:c16r2="http://schemas.microsoft.com/office/drawing/2015/06/chart">
            <c:ext xmlns:c16="http://schemas.microsoft.com/office/drawing/2014/chart" uri="{C3380CC4-5D6E-409C-BE32-E72D297353CC}">
              <c16:uniqueId val="{00000000-78CA-4ABE-8FD1-75D0752E8318}"/>
            </c:ext>
          </c:extLst>
        </c:ser>
        <c:dLbls>
          <c:showLegendKey val="0"/>
          <c:showVal val="0"/>
          <c:showCatName val="0"/>
          <c:showSerName val="0"/>
          <c:showPercent val="0"/>
          <c:showBubbleSize val="0"/>
        </c:dLbls>
        <c:gapWidth val="219"/>
        <c:overlap val="-27"/>
        <c:axId val="-659012816"/>
        <c:axId val="-659025328"/>
      </c:barChart>
      <c:catAx>
        <c:axId val="-659012816"/>
        <c:scaling>
          <c:orientation val="minMax"/>
        </c:scaling>
        <c:delete val="0"/>
        <c:axPos val="b"/>
        <c:title>
          <c:tx>
            <c:rich>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r>
                  <a:rPr lang="et-EE" sz="1000"/>
                  <a:t>Vanusevahemik</a:t>
                </a:r>
              </a:p>
            </c:rich>
          </c:tx>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t-EE"/>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t-EE"/>
          </a:p>
        </c:txPr>
        <c:crossAx val="-659025328"/>
        <c:crosses val="autoZero"/>
        <c:auto val="1"/>
        <c:lblAlgn val="ctr"/>
        <c:lblOffset val="100"/>
        <c:noMultiLvlLbl val="0"/>
      </c:catAx>
      <c:valAx>
        <c:axId val="-6590253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r>
                  <a:rPr lang="et-EE" sz="1000"/>
                  <a:t>Taotlejate arv</a:t>
                </a:r>
              </a:p>
            </c:rich>
          </c:tx>
          <c:layout>
            <c:manualLayout>
              <c:xMode val="edge"/>
              <c:yMode val="edge"/>
              <c:x val="1.4189118252110378E-2"/>
              <c:y val="0.31001631552812653"/>
            </c:manualLayout>
          </c:layout>
          <c:overlay val="0"/>
          <c:spPr>
            <a:noFill/>
            <a:ln>
              <a:noFill/>
            </a:ln>
            <a:effectLst/>
          </c:spPr>
          <c:txPr>
            <a:bodyPr rot="-54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t-EE"/>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t-EE"/>
          </a:p>
        </c:txPr>
        <c:crossAx val="-65901281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t-EE"/>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9060367454068242"/>
          <c:y val="2.3401137357830278E-2"/>
          <c:w val="0.44934820647419083"/>
          <c:h val="0.74891367745698467"/>
        </c:manualLayout>
      </c:layout>
      <c:pieChart>
        <c:varyColors val="1"/>
        <c:ser>
          <c:idx val="0"/>
          <c:order val="0"/>
          <c:tx>
            <c:strRef>
              <c:f>Tabelid!$B$62</c:f>
              <c:strCache>
                <c:ptCount val="1"/>
                <c:pt idx="0">
                  <c:v>Taotluste arv</c:v>
                </c:pt>
              </c:strCache>
            </c:strRef>
          </c:tx>
          <c:dPt>
            <c:idx val="0"/>
            <c:bubble3D val="0"/>
            <c:spPr>
              <a:solidFill>
                <a:srgbClr val="339DD5"/>
              </a:solidFill>
              <a:ln w="19050">
                <a:solidFill>
                  <a:schemeClr val="lt1"/>
                </a:solidFill>
              </a:ln>
              <a:effectLst/>
            </c:spPr>
            <c:extLst xmlns:c16r2="http://schemas.microsoft.com/office/drawing/2015/06/chart">
              <c:ext xmlns:c16="http://schemas.microsoft.com/office/drawing/2014/chart" uri="{C3380CC4-5D6E-409C-BE32-E72D297353CC}">
                <c16:uniqueId val="{00000001-DF7C-4D1D-8859-645CF7F987F6}"/>
              </c:ext>
            </c:extLst>
          </c:dPt>
          <c:dPt>
            <c:idx val="1"/>
            <c:bubble3D val="0"/>
            <c:spPr>
              <a:solidFill>
                <a:srgbClr val="F4C233"/>
              </a:solidFill>
              <a:ln w="19050">
                <a:solidFill>
                  <a:schemeClr val="lt1"/>
                </a:solidFill>
              </a:ln>
              <a:effectLst/>
            </c:spPr>
            <c:extLst xmlns:c16r2="http://schemas.microsoft.com/office/drawing/2015/06/chart">
              <c:ext xmlns:c16="http://schemas.microsoft.com/office/drawing/2014/chart" uri="{C3380CC4-5D6E-409C-BE32-E72D297353CC}">
                <c16:uniqueId val="{00000003-DF7C-4D1D-8859-645CF7F987F6}"/>
              </c:ext>
            </c:extLst>
          </c:dPt>
          <c:dPt>
            <c:idx val="2"/>
            <c:bubble3D val="0"/>
            <c:spPr>
              <a:solidFill>
                <a:srgbClr val="33599F"/>
              </a:solidFill>
              <a:ln w="19050">
                <a:solidFill>
                  <a:schemeClr val="lt1"/>
                </a:solidFill>
              </a:ln>
              <a:effectLst/>
            </c:spPr>
            <c:extLst xmlns:c16r2="http://schemas.microsoft.com/office/drawing/2015/06/chart">
              <c:ext xmlns:c16="http://schemas.microsoft.com/office/drawing/2014/chart" uri="{C3380CC4-5D6E-409C-BE32-E72D297353CC}">
                <c16:uniqueId val="{00000005-DF7C-4D1D-8859-645CF7F987F6}"/>
              </c:ext>
            </c:extLst>
          </c:dPt>
          <c:dPt>
            <c:idx val="3"/>
            <c:bubble3D val="0"/>
            <c:spPr>
              <a:solidFill>
                <a:srgbClr val="83B93C"/>
              </a:solidFill>
              <a:ln w="19050">
                <a:solidFill>
                  <a:schemeClr val="lt1"/>
                </a:solidFill>
              </a:ln>
              <a:effectLst/>
            </c:spPr>
            <c:extLst xmlns:c16r2="http://schemas.microsoft.com/office/drawing/2015/06/chart">
              <c:ext xmlns:c16="http://schemas.microsoft.com/office/drawing/2014/chart" uri="{C3380CC4-5D6E-409C-BE32-E72D297353CC}">
                <c16:uniqueId val="{00000007-DF7C-4D1D-8859-645CF7F987F6}"/>
              </c:ext>
            </c:extLst>
          </c:dPt>
          <c:dPt>
            <c:idx val="4"/>
            <c:bubble3D val="0"/>
            <c:spPr>
              <a:solidFill>
                <a:srgbClr val="EE9133"/>
              </a:solidFill>
              <a:ln w="19050">
                <a:solidFill>
                  <a:schemeClr val="lt1"/>
                </a:solidFill>
              </a:ln>
              <a:effectLst/>
            </c:spPr>
            <c:extLst xmlns:c16r2="http://schemas.microsoft.com/office/drawing/2015/06/chart">
              <c:ext xmlns:c16="http://schemas.microsoft.com/office/drawing/2014/chart" uri="{C3380CC4-5D6E-409C-BE32-E72D297353CC}">
                <c16:uniqueId val="{00000009-DF7C-4D1D-8859-645CF7F987F6}"/>
              </c:ext>
            </c:extLst>
          </c:dPt>
          <c:dPt>
            <c:idx val="5"/>
            <c:bubble3D val="0"/>
            <c:spPr>
              <a:solidFill>
                <a:srgbClr val="BF5259"/>
              </a:solidFill>
              <a:ln w="19050">
                <a:solidFill>
                  <a:schemeClr val="lt1"/>
                </a:solidFill>
              </a:ln>
              <a:effectLst/>
            </c:spPr>
            <c:extLst xmlns:c16r2="http://schemas.microsoft.com/office/drawing/2015/06/chart">
              <c:ext xmlns:c16="http://schemas.microsoft.com/office/drawing/2014/chart" uri="{C3380CC4-5D6E-409C-BE32-E72D297353CC}">
                <c16:uniqueId val="{0000000B-DF7C-4D1D-8859-645CF7F987F6}"/>
              </c:ext>
            </c:extLst>
          </c:dPt>
          <c:dLbls>
            <c:dLbl>
              <c:idx val="0"/>
              <c:tx>
                <c:rich>
                  <a:bodyPr/>
                  <a:lstStyle/>
                  <a:p>
                    <a:fld id="{402E49CB-374B-4F67-BED4-09A542280FD7}" type="CELLRANGE">
                      <a:rPr lang="en-US"/>
                      <a:pPr/>
                      <a:t>[CELLRANGE]</a:t>
                    </a:fld>
                    <a:endParaRPr lang="en-US" baseline="0"/>
                  </a:p>
                  <a:p>
                    <a:fld id="{3D8D1C5C-9732-4C26-BC62-DD1ACF832C54}" type="VALUE">
                      <a:rPr lang="en-US"/>
                      <a:pPr/>
                      <a:t>[VÄÄRTUS]</a:t>
                    </a:fld>
                    <a:endParaRPr lang="et-EE"/>
                  </a:p>
                </c:rich>
              </c:tx>
              <c:dLblPos val="bestFit"/>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01-DF7C-4D1D-8859-645CF7F987F6}"/>
                </c:ext>
                <c:ext xmlns:c15="http://schemas.microsoft.com/office/drawing/2012/chart" uri="{CE6537A1-D6FC-4f65-9D91-7224C49458BB}">
                  <c15:dlblFieldTable/>
                  <c15:showDataLabelsRange val="1"/>
                </c:ext>
              </c:extLst>
            </c:dLbl>
            <c:dLbl>
              <c:idx val="1"/>
              <c:tx>
                <c:rich>
                  <a:bodyPr/>
                  <a:lstStyle/>
                  <a:p>
                    <a:fld id="{D1A6D5D5-0990-4AB4-AFEC-EAAEFD97E90B}" type="CELLRANGE">
                      <a:rPr lang="en-US"/>
                      <a:pPr/>
                      <a:t>[CELLRANGE]</a:t>
                    </a:fld>
                    <a:endParaRPr lang="en-US" baseline="0"/>
                  </a:p>
                  <a:p>
                    <a:fld id="{AC0DA5C8-27AC-41D9-9FFE-0421C188B554}" type="VALUE">
                      <a:rPr lang="en-US"/>
                      <a:pPr/>
                      <a:t>[VÄÄRTUS]</a:t>
                    </a:fld>
                    <a:endParaRPr lang="et-EE"/>
                  </a:p>
                </c:rich>
              </c:tx>
              <c:dLblPos val="bestFit"/>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03-DF7C-4D1D-8859-645CF7F987F6}"/>
                </c:ext>
                <c:ext xmlns:c15="http://schemas.microsoft.com/office/drawing/2012/chart" uri="{CE6537A1-D6FC-4f65-9D91-7224C49458BB}">
                  <c15:dlblFieldTable/>
                  <c15:showDataLabelsRange val="1"/>
                </c:ext>
              </c:extLst>
            </c:dLbl>
            <c:dLbl>
              <c:idx val="2"/>
              <c:tx>
                <c:rich>
                  <a:bodyPr/>
                  <a:lstStyle/>
                  <a:p>
                    <a:fld id="{FF647197-9D01-41B1-925F-D1C8F1713FB6}" type="CELLRANGE">
                      <a:rPr lang="en-US"/>
                      <a:pPr/>
                      <a:t>[CELLRANGE]</a:t>
                    </a:fld>
                    <a:endParaRPr lang="en-US" baseline="0"/>
                  </a:p>
                  <a:p>
                    <a:fld id="{08CB4FB1-A5E2-437E-9A7B-CF293AD3CA11}" type="VALUE">
                      <a:rPr lang="en-US"/>
                      <a:pPr/>
                      <a:t>[VÄÄRTUS]</a:t>
                    </a:fld>
                    <a:endParaRPr lang="et-EE"/>
                  </a:p>
                </c:rich>
              </c:tx>
              <c:dLblPos val="bestFit"/>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05-DF7C-4D1D-8859-645CF7F987F6}"/>
                </c:ext>
                <c:ext xmlns:c15="http://schemas.microsoft.com/office/drawing/2012/chart" uri="{CE6537A1-D6FC-4f65-9D91-7224C49458BB}">
                  <c15:dlblFieldTable/>
                  <c15:showDataLabelsRange val="1"/>
                </c:ext>
              </c:extLst>
            </c:dLbl>
            <c:dLbl>
              <c:idx val="3"/>
              <c:tx>
                <c:rich>
                  <a:bodyPr/>
                  <a:lstStyle/>
                  <a:p>
                    <a:fld id="{CA131556-8749-40E8-9023-3E42D948D843}" type="CELLRANGE">
                      <a:rPr lang="en-US"/>
                      <a:pPr/>
                      <a:t>[CELLRANGE]</a:t>
                    </a:fld>
                    <a:endParaRPr lang="en-US" baseline="0"/>
                  </a:p>
                  <a:p>
                    <a:fld id="{AB67A0ED-2100-46AD-BE13-771ED0AF8302}" type="VALUE">
                      <a:rPr lang="en-US"/>
                      <a:pPr/>
                      <a:t>[VÄÄRTUS]</a:t>
                    </a:fld>
                    <a:endParaRPr lang="et-EE"/>
                  </a:p>
                </c:rich>
              </c:tx>
              <c:dLblPos val="bestFit"/>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07-DF7C-4D1D-8859-645CF7F987F6}"/>
                </c:ext>
                <c:ext xmlns:c15="http://schemas.microsoft.com/office/drawing/2012/chart" uri="{CE6537A1-D6FC-4f65-9D91-7224C49458BB}">
                  <c15:dlblFieldTable/>
                  <c15:showDataLabelsRange val="1"/>
                </c:ext>
              </c:extLst>
            </c:dLbl>
            <c:dLbl>
              <c:idx val="4"/>
              <c:tx>
                <c:rich>
                  <a:bodyPr/>
                  <a:lstStyle/>
                  <a:p>
                    <a:fld id="{46AA3CAF-7A69-40C4-B759-A0B1A52A8740}" type="CELLRANGE">
                      <a:rPr lang="en-US"/>
                      <a:pPr/>
                      <a:t>[CELLRANGE]</a:t>
                    </a:fld>
                    <a:endParaRPr lang="en-US" baseline="0"/>
                  </a:p>
                  <a:p>
                    <a:fld id="{64078AAC-87BC-475C-9802-B5A4D10913C5}" type="VALUE">
                      <a:rPr lang="en-US"/>
                      <a:pPr/>
                      <a:t>[VÄÄRTUS]</a:t>
                    </a:fld>
                    <a:endParaRPr lang="et-EE"/>
                  </a:p>
                </c:rich>
              </c:tx>
              <c:dLblPos val="bestFit"/>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09-DF7C-4D1D-8859-645CF7F987F6}"/>
                </c:ext>
                <c:ext xmlns:c15="http://schemas.microsoft.com/office/drawing/2012/chart" uri="{CE6537A1-D6FC-4f65-9D91-7224C49458BB}">
                  <c15:dlblFieldTable/>
                  <c15:showDataLabelsRange val="1"/>
                </c:ext>
              </c:extLst>
            </c:dLbl>
            <c:dLbl>
              <c:idx val="5"/>
              <c:tx>
                <c:rich>
                  <a:bodyPr/>
                  <a:lstStyle/>
                  <a:p>
                    <a:fld id="{4181E277-9D11-47F0-A798-ED8FDDFB2C81}" type="CELLRANGE">
                      <a:rPr lang="en-US"/>
                      <a:pPr/>
                      <a:t>[CELLRANGE]</a:t>
                    </a:fld>
                    <a:endParaRPr lang="en-US" baseline="0"/>
                  </a:p>
                  <a:p>
                    <a:fld id="{1C3DD37E-E50A-41DF-820F-91139749D13E}" type="VALUE">
                      <a:rPr lang="en-US"/>
                      <a:pPr/>
                      <a:t>[VÄÄRTUS]</a:t>
                    </a:fld>
                    <a:endParaRPr lang="et-EE"/>
                  </a:p>
                </c:rich>
              </c:tx>
              <c:dLblPos val="bestFit"/>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0B-DF7C-4D1D-8859-645CF7F987F6}"/>
                </c:ext>
                <c:ext xmlns:c15="http://schemas.microsoft.com/office/drawing/2012/chart" uri="{CE6537A1-D6FC-4f65-9D91-7224C49458BB}">
                  <c15:dlblFieldTable/>
                  <c15:showDataLabelsRange val="1"/>
                </c:ext>
              </c:extLst>
            </c:dLbl>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t-EE"/>
              </a:p>
            </c:txPr>
            <c:dLblPos val="bestFit"/>
            <c:showLegendKey val="0"/>
            <c:showVal val="1"/>
            <c:showCatName val="0"/>
            <c:showSerName val="0"/>
            <c:showPercent val="0"/>
            <c:showBubbleSize val="0"/>
            <c:separator>
</c:separator>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showDataLabelsRange val="1"/>
              </c:ext>
            </c:extLst>
          </c:dLbls>
          <c:cat>
            <c:strRef>
              <c:f>Tabelid!$A$63:$A$68</c:f>
              <c:strCache>
                <c:ptCount val="6"/>
                <c:pt idx="0">
                  <c:v>Loodusteadused</c:v>
                </c:pt>
                <c:pt idx="1">
                  <c:v>Tehnika ja tehnoloogia</c:v>
                </c:pt>
                <c:pt idx="2">
                  <c:v>Arsti- ja terviseteadused</c:v>
                </c:pt>
                <c:pt idx="3">
                  <c:v>Põllumajandusteadused ja veterinaaria</c:v>
                </c:pt>
                <c:pt idx="4">
                  <c:v>Sotsiaalteadused</c:v>
                </c:pt>
                <c:pt idx="5">
                  <c:v>Humanitaarteadused ja kunstid</c:v>
                </c:pt>
              </c:strCache>
            </c:strRef>
          </c:cat>
          <c:val>
            <c:numRef>
              <c:f>Tabelid!$B$63:$B$68</c:f>
              <c:numCache>
                <c:formatCode>General</c:formatCode>
                <c:ptCount val="6"/>
                <c:pt idx="0">
                  <c:v>34</c:v>
                </c:pt>
                <c:pt idx="1">
                  <c:v>25</c:v>
                </c:pt>
                <c:pt idx="2">
                  <c:v>30</c:v>
                </c:pt>
                <c:pt idx="3">
                  <c:v>8</c:v>
                </c:pt>
                <c:pt idx="4">
                  <c:v>25</c:v>
                </c:pt>
                <c:pt idx="5">
                  <c:v>8</c:v>
                </c:pt>
              </c:numCache>
            </c:numRef>
          </c:val>
          <c:extLst xmlns:c16r2="http://schemas.microsoft.com/office/drawing/2015/06/chart">
            <c:ext xmlns:c16="http://schemas.microsoft.com/office/drawing/2014/chart" uri="{C3380CC4-5D6E-409C-BE32-E72D297353CC}">
              <c16:uniqueId val="{0000000C-DF7C-4D1D-8859-645CF7F987F6}"/>
            </c:ext>
            <c:ext xmlns:c15="http://schemas.microsoft.com/office/drawing/2012/chart" uri="{02D57815-91ED-43cb-92C2-25804820EDAC}">
              <c15:datalabelsRange>
                <c15:f>Tabelid!$C$63:$C$68</c15:f>
                <c15:dlblRangeCache>
                  <c:ptCount val="6"/>
                  <c:pt idx="0">
                    <c:v>26,2%</c:v>
                  </c:pt>
                  <c:pt idx="1">
                    <c:v>19,2%</c:v>
                  </c:pt>
                  <c:pt idx="2">
                    <c:v>23,1%</c:v>
                  </c:pt>
                  <c:pt idx="3">
                    <c:v>6,2%</c:v>
                  </c:pt>
                  <c:pt idx="4">
                    <c:v>19,2%</c:v>
                  </c:pt>
                  <c:pt idx="5">
                    <c:v>6,2%</c:v>
                  </c:pt>
                </c15:dlblRangeCache>
              </c15:datalabelsRange>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9.8416447944006998E-3"/>
          <c:y val="0.78182706328375617"/>
          <c:w val="0.96920559930008754"/>
          <c:h val="0.19039515893846604"/>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t-EE"/>
        </a:p>
      </c:txPr>
    </c:legend>
    <c:plotVisOnly val="1"/>
    <c:dispBlanksAs val="gap"/>
    <c:showDLblsOverMax val="0"/>
  </c:chart>
  <c:spPr>
    <a:solidFill>
      <a:schemeClr val="bg1"/>
    </a:solidFill>
    <a:ln w="9525" cap="flat" cmpd="sng" algn="ctr">
      <a:noFill/>
      <a:round/>
    </a:ln>
    <a:effectLst/>
  </c:spPr>
  <c:txPr>
    <a:bodyPr/>
    <a:lstStyle/>
    <a:p>
      <a:pPr>
        <a:defRPr sz="1000">
          <a:solidFill>
            <a:sysClr val="windowText" lastClr="000000"/>
          </a:solidFill>
        </a:defRPr>
      </a:pPr>
      <a:endParaRPr lang="et-E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676</Words>
  <Characters>3925</Characters>
  <Application>Microsoft Office Word</Application>
  <DocSecurity>0</DocSecurity>
  <Lines>32</Lines>
  <Paragraphs>9</Paragraphs>
  <ScaleCrop>false</ScaleCrop>
  <HeadingPairs>
    <vt:vector size="2" baseType="variant">
      <vt:variant>
        <vt:lpstr>Pealkiri</vt:lpstr>
      </vt:variant>
      <vt:variant>
        <vt:i4>1</vt:i4>
      </vt:variant>
    </vt:vector>
  </HeadingPairs>
  <TitlesOfParts>
    <vt:vector size="1" baseType="lpstr">
      <vt:lpstr/>
    </vt:vector>
  </TitlesOfParts>
  <Company>RIK</Company>
  <LinksUpToDate>false</LinksUpToDate>
  <CharactersWithSpaces>4592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Maarja Sillaste</dc:creator>
  <cp:keywords/>
  <dc:description/>
  <cp:lastModifiedBy>Kristi Auli</cp:lastModifiedBy>
  <cp:revision>2</cp:revision>
  <dcterms:created xsi:type="dcterms:W3CDTF">2019-02-21T09:40:00Z</dcterms:created>
  <dcterms:modified xsi:type="dcterms:W3CDTF">2019-02-21T09:40:00Z</dcterms:modified>
</cp:coreProperties>
</file>