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9BC" w:rsidRDefault="00733F64" w:rsidP="000654E6">
      <w:pPr>
        <w:jc w:val="both"/>
        <w:rPr>
          <w:b/>
        </w:rPr>
      </w:pPr>
      <w:bookmarkStart w:id="0" w:name="_GoBack"/>
      <w:bookmarkEnd w:id="0"/>
      <w:r>
        <w:rPr>
          <w:b/>
        </w:rPr>
        <w:t>KEV infopäevade kokkuvõte</w:t>
      </w:r>
    </w:p>
    <w:p w:rsidR="00D54F6C" w:rsidRDefault="00D54F6C" w:rsidP="00D54F6C">
      <w:pPr>
        <w:pStyle w:val="Loendilik"/>
        <w:numPr>
          <w:ilvl w:val="0"/>
          <w:numId w:val="1"/>
        </w:numPr>
        <w:jc w:val="both"/>
      </w:pPr>
      <w:r>
        <w:t>ETISe vormi lahtrite nimed ja tehnilised vead on parandatud vastavalt infoseminaridel lubatule.</w:t>
      </w:r>
    </w:p>
    <w:p w:rsidR="00733F64" w:rsidRDefault="00733F64" w:rsidP="000654E6">
      <w:pPr>
        <w:pStyle w:val="Loendilik"/>
        <w:numPr>
          <w:ilvl w:val="0"/>
          <w:numId w:val="1"/>
        </w:numPr>
        <w:jc w:val="both"/>
      </w:pPr>
      <w:r>
        <w:t>Eneseanalüüsi vormi täitmise juhendit on</w:t>
      </w:r>
      <w:r w:rsidR="00A853C1">
        <w:t xml:space="preserve"> taotlevate asutuste soovil</w:t>
      </w:r>
      <w:r>
        <w:t xml:space="preserve"> täiendatud infopäeval toodud näidetega.</w:t>
      </w:r>
      <w:r w:rsidR="00A853C1">
        <w:t xml:space="preserve"> </w:t>
      </w:r>
    </w:p>
    <w:p w:rsidR="00733F64" w:rsidRDefault="00022284" w:rsidP="000654E6">
      <w:pPr>
        <w:pStyle w:val="Loendilik"/>
        <w:numPr>
          <w:ilvl w:val="0"/>
          <w:numId w:val="1"/>
        </w:numPr>
        <w:jc w:val="both"/>
      </w:pPr>
      <w:r>
        <w:t>Eneseanalüüsi vormis täiendatakse esimesel võimalusel infot Eestisiseste TA-lepingute ja välislepingute ja grantide kajastamise metoodikat.</w:t>
      </w:r>
      <w:r w:rsidR="00A853C1">
        <w:t xml:space="preserve"> Kui see info on juhendisse lisatud, siis asutusi teavitatakse sellest.</w:t>
      </w:r>
    </w:p>
    <w:p w:rsidR="00022284" w:rsidRDefault="00A853C1" w:rsidP="000654E6">
      <w:pPr>
        <w:pStyle w:val="Loendilik"/>
        <w:numPr>
          <w:ilvl w:val="0"/>
          <w:numId w:val="1"/>
        </w:numPr>
        <w:jc w:val="both"/>
      </w:pPr>
      <w:r>
        <w:t xml:space="preserve">Oluline </w:t>
      </w:r>
      <w:r w:rsidR="000654E6">
        <w:t>tähtaeg</w:t>
      </w:r>
      <w:r>
        <w:t xml:space="preserve">, mida meelde jätta – eneseanalüüsi vormide esitamise tähtaeg on </w:t>
      </w:r>
      <w:r w:rsidRPr="004E57CF">
        <w:rPr>
          <w:b/>
        </w:rPr>
        <w:t>15.02.2017</w:t>
      </w:r>
      <w:r>
        <w:t>. Väga mõjuvatel põhjustel või tehniliste puuduste eemaldamiseks on erandjuhtudel võimalik taotleda ajapikendust.</w:t>
      </w:r>
    </w:p>
    <w:p w:rsidR="00000B33" w:rsidRDefault="000654E6" w:rsidP="00000B33">
      <w:pPr>
        <w:pStyle w:val="Loendilik"/>
        <w:numPr>
          <w:ilvl w:val="0"/>
          <w:numId w:val="1"/>
        </w:numPr>
        <w:jc w:val="both"/>
      </w:pPr>
      <w:r>
        <w:t>Kui asutuse arvates jätab automaatselt kogutav statistiline info, mida asutus ise v</w:t>
      </w:r>
      <w:r w:rsidR="00014733">
        <w:t>ormis muuta ei saa, oma</w:t>
      </w:r>
      <w:r>
        <w:t xml:space="preserve"> tegevuse spetsiifika tõttu ekspertidele teiste asutustega võrdluses ebaõiglaselt halba valgusesse, tuleks sellest edasiste juhtnööride saamiseks ETAgit teavitada või esitada statistikat täiendavad ja põhjendavad faktid kommentaaride lahtrites.</w:t>
      </w:r>
    </w:p>
    <w:p w:rsidR="00521A19" w:rsidRDefault="00521A19" w:rsidP="00521A19">
      <w:pPr>
        <w:pStyle w:val="Loendilik"/>
        <w:jc w:val="both"/>
      </w:pPr>
    </w:p>
    <w:p w:rsidR="004E57CF" w:rsidRDefault="004E57CF" w:rsidP="004E57CF">
      <w:pPr>
        <w:ind w:left="360"/>
      </w:pPr>
      <w:r>
        <w:t>Vastused infopäevadel lahtiseks jäänud küsimustele:</w:t>
      </w:r>
    </w:p>
    <w:p w:rsidR="005B59C3" w:rsidRPr="005B59C3" w:rsidRDefault="00521A19" w:rsidP="006905A8">
      <w:pPr>
        <w:pStyle w:val="Loendilik"/>
        <w:numPr>
          <w:ilvl w:val="0"/>
          <w:numId w:val="2"/>
        </w:numPr>
        <w:jc w:val="both"/>
        <w:rPr>
          <w:b/>
        </w:rPr>
      </w:pPr>
      <w:r w:rsidRPr="00F479BC">
        <w:rPr>
          <w:b/>
        </w:rPr>
        <w:t>FTE arvestuse loogika</w:t>
      </w:r>
      <w:r w:rsidR="00014733">
        <w:rPr>
          <w:b/>
        </w:rPr>
        <w:t xml:space="preserve"> – </w:t>
      </w:r>
      <w:r w:rsidR="00014733" w:rsidRPr="00014733">
        <w:rPr>
          <w:b/>
        </w:rPr>
        <w:t xml:space="preserve">Kuidas </w:t>
      </w:r>
      <w:r w:rsidR="00014733">
        <w:rPr>
          <w:b/>
        </w:rPr>
        <w:t>FTE arvestus toimib</w:t>
      </w:r>
      <w:r w:rsidR="00014733" w:rsidRPr="00014733">
        <w:rPr>
          <w:b/>
        </w:rPr>
        <w:t>, kui inimesel oli aasta jooksul mitu lepingut erinevate koormustega? Nt 3 kuud 0,5 ja 9 kuud 0,6? Kuidas arvestatakse FTE-des isikuid, kes asutuses töötasidki näiteks ainult 3 kuud 0,3 koormusega? Kas talle läheb FTEna kirja 0,3 või 3/12*0,3 ?</w:t>
      </w:r>
      <w:r w:rsidR="00703F4A">
        <w:rPr>
          <w:b/>
        </w:rPr>
        <w:t xml:space="preserve"> </w:t>
      </w:r>
      <w:r w:rsidR="006905A8" w:rsidRPr="006905A8">
        <w:rPr>
          <w:i/>
        </w:rPr>
        <w:t xml:space="preserve">Hetkel liidab </w:t>
      </w:r>
      <w:r w:rsidR="006905A8">
        <w:rPr>
          <w:i/>
        </w:rPr>
        <w:t xml:space="preserve">ETIS </w:t>
      </w:r>
      <w:r w:rsidR="006905A8" w:rsidRPr="006905A8">
        <w:rPr>
          <w:i/>
        </w:rPr>
        <w:t xml:space="preserve">kõigi aastas olnud töösuhtete FTEd kokku, aga </w:t>
      </w:r>
      <w:r w:rsidR="006905A8">
        <w:rPr>
          <w:i/>
        </w:rPr>
        <w:t>kuna see on ebaotstarbekas, on tellitud</w:t>
      </w:r>
      <w:r w:rsidR="006905A8" w:rsidRPr="006905A8">
        <w:rPr>
          <w:i/>
        </w:rPr>
        <w:t xml:space="preserve"> juba ka täiendus, et</w:t>
      </w:r>
      <w:r w:rsidR="005B59C3">
        <w:rPr>
          <w:i/>
        </w:rPr>
        <w:t xml:space="preserve"> arvesse läheks ainult 31.12.201</w:t>
      </w:r>
      <w:r w:rsidR="006905A8" w:rsidRPr="006905A8">
        <w:rPr>
          <w:i/>
        </w:rPr>
        <w:t>X seisuga töösuhte FTE. Enamike</w:t>
      </w:r>
      <w:r w:rsidR="006905A8">
        <w:rPr>
          <w:i/>
        </w:rPr>
        <w:t xml:space="preserve"> </w:t>
      </w:r>
      <w:r w:rsidR="006905A8" w:rsidRPr="006905A8">
        <w:rPr>
          <w:i/>
        </w:rPr>
        <w:t>asutuste puhul on see vahe väga väike</w:t>
      </w:r>
      <w:r w:rsidR="006905A8">
        <w:rPr>
          <w:i/>
        </w:rPr>
        <w:t xml:space="preserve"> (mitte siiski kõigi, olenevalt lepinguliste suhete spetsiifikast – asutusi, kelle puhul muutused on suuremad, on üldjuhul juba teavitatud). Arendus viiakse läbi esimesel võimalusel ning ilmub teie ETISe vormidesse enne 2016. aasta lõppu. </w:t>
      </w:r>
    </w:p>
    <w:p w:rsidR="005B59C3" w:rsidRDefault="005B59C3" w:rsidP="005B59C3">
      <w:pPr>
        <w:pStyle w:val="Loendilik"/>
        <w:jc w:val="both"/>
        <w:rPr>
          <w:b/>
        </w:rPr>
      </w:pPr>
    </w:p>
    <w:p w:rsidR="004E57CF" w:rsidRPr="006905A8" w:rsidRDefault="006905A8" w:rsidP="005B59C3">
      <w:pPr>
        <w:pStyle w:val="Loendilik"/>
        <w:jc w:val="both"/>
        <w:rPr>
          <w:b/>
        </w:rPr>
      </w:pPr>
      <w:r>
        <w:rPr>
          <w:i/>
        </w:rPr>
        <w:t xml:space="preserve">Asutused, kes täidavad oma isikute saki andmed käsitsi, ei tohiks kindlasti </w:t>
      </w:r>
      <w:r w:rsidR="005B59C3">
        <w:rPr>
          <w:i/>
        </w:rPr>
        <w:t xml:space="preserve">pärast täitmist </w:t>
      </w:r>
      <w:r>
        <w:rPr>
          <w:i/>
        </w:rPr>
        <w:t xml:space="preserve">kasutada vastava saki juures nuppu „värskenda“, sest see taastab andmed ETISes olevate järgi. </w:t>
      </w:r>
      <w:r w:rsidR="005B59C3">
        <w:rPr>
          <w:i/>
        </w:rPr>
        <w:t xml:space="preserve">Kui asutuses on olnud tööl isikud, kelle töösuhe on alanud ja lõppenud hinnataval perioodil sama kalendriaasta sees ning seetõttu ETISe arvutatavas automaatarvestuses ei kajastu, võib tema FTE soovi korral käsitsi tulemustele liita (võib liita reaalse koormuse, millega ta tööl oli, ei pea arvestama aasta lõikes kuude peale), aga ei pea. </w:t>
      </w:r>
    </w:p>
    <w:p w:rsidR="00014733" w:rsidRDefault="00014733" w:rsidP="00014733">
      <w:pPr>
        <w:pStyle w:val="Loendilik"/>
        <w:rPr>
          <w:b/>
        </w:rPr>
      </w:pPr>
    </w:p>
    <w:p w:rsidR="00014733" w:rsidRPr="00014733" w:rsidRDefault="00014733" w:rsidP="00014733">
      <w:pPr>
        <w:pStyle w:val="Loendilik"/>
        <w:numPr>
          <w:ilvl w:val="0"/>
          <w:numId w:val="2"/>
        </w:numPr>
        <w:rPr>
          <w:i/>
        </w:rPr>
      </w:pPr>
      <w:r>
        <w:rPr>
          <w:b/>
        </w:rPr>
        <w:t xml:space="preserve">Kas isikute sakil lähevad arvesse ainult töölepingutega töötajad? </w:t>
      </w:r>
      <w:r w:rsidR="005B59C3">
        <w:rPr>
          <w:i/>
        </w:rPr>
        <w:t>ETIS e</w:t>
      </w:r>
      <w:r w:rsidRPr="00014733">
        <w:rPr>
          <w:i/>
        </w:rPr>
        <w:t>i erista lepingute liike, kui isikul on ETISes nö töösuhte kirj</w:t>
      </w:r>
      <w:r>
        <w:rPr>
          <w:i/>
        </w:rPr>
        <w:t>e, siis läheb ta arvesse. A</w:t>
      </w:r>
      <w:r w:rsidRPr="00014733">
        <w:rPr>
          <w:i/>
        </w:rPr>
        <w:t>rvesse lähevad need</w:t>
      </w:r>
      <w:r>
        <w:rPr>
          <w:i/>
        </w:rPr>
        <w:t xml:space="preserve"> isikud</w:t>
      </w:r>
      <w:r w:rsidRPr="00014733">
        <w:rPr>
          <w:i/>
        </w:rPr>
        <w:t>, kellel on vähemalt üks töösuhte kirje vastava perioodi kohta.</w:t>
      </w:r>
    </w:p>
    <w:p w:rsidR="004C6F57" w:rsidRDefault="004C6F57" w:rsidP="004C6F57">
      <w:pPr>
        <w:pStyle w:val="Loendilik"/>
      </w:pPr>
    </w:p>
    <w:p w:rsidR="00F479BC" w:rsidRDefault="00521A19" w:rsidP="00F479BC">
      <w:pPr>
        <w:pStyle w:val="Loendilik"/>
        <w:numPr>
          <w:ilvl w:val="0"/>
          <w:numId w:val="2"/>
        </w:numPr>
        <w:rPr>
          <w:i/>
        </w:rPr>
      </w:pPr>
      <w:r w:rsidRPr="00F479BC">
        <w:rPr>
          <w:b/>
        </w:rPr>
        <w:t>Andmete kogumise perioodi jooksul on publikatsioonide klassifikaator muutunud – kas publikatsioone tuleks sellele vastavalt tagantjärele muuta?</w:t>
      </w:r>
      <w:r>
        <w:t xml:space="preserve"> </w:t>
      </w:r>
      <w:r w:rsidRPr="00000B33">
        <w:rPr>
          <w:i/>
        </w:rPr>
        <w:t>Ei, publikatsioonide klassifikaatori muutus laienes vaid pärast muutust sisestatavatele publikatsioonidele, mistõttu varasemate publikatsioonide osas muutusi ei toimu.</w:t>
      </w:r>
    </w:p>
    <w:p w:rsidR="00941EBB" w:rsidRPr="00941EBB" w:rsidRDefault="00941EBB" w:rsidP="00941EBB">
      <w:pPr>
        <w:pStyle w:val="Loendilik"/>
        <w:rPr>
          <w:i/>
        </w:rPr>
      </w:pPr>
    </w:p>
    <w:p w:rsidR="00941EBB" w:rsidRDefault="00941EBB" w:rsidP="00941EBB">
      <w:pPr>
        <w:pStyle w:val="Loendilik"/>
        <w:rPr>
          <w:i/>
        </w:rPr>
      </w:pPr>
    </w:p>
    <w:p w:rsidR="004C6F57" w:rsidRDefault="00BC6355" w:rsidP="002207B0">
      <w:pPr>
        <w:pStyle w:val="Loendilik"/>
        <w:numPr>
          <w:ilvl w:val="0"/>
          <w:numId w:val="2"/>
        </w:numPr>
        <w:jc w:val="both"/>
      </w:pPr>
      <w:r w:rsidRPr="00F479BC">
        <w:rPr>
          <w:b/>
        </w:rPr>
        <w:t xml:space="preserve">Kas oleks võimalik </w:t>
      </w:r>
      <w:r w:rsidR="00000B33" w:rsidRPr="00F479BC">
        <w:rPr>
          <w:b/>
        </w:rPr>
        <w:t>doktoriõppe sakk vormis</w:t>
      </w:r>
      <w:r w:rsidRPr="00F479BC">
        <w:rPr>
          <w:b/>
        </w:rPr>
        <w:t>t välja jätta</w:t>
      </w:r>
      <w:r w:rsidR="00000B33" w:rsidRPr="00F479BC">
        <w:rPr>
          <w:b/>
        </w:rPr>
        <w:t xml:space="preserve"> nende asutuste osas, kes ei anna ega kavatsegi anda doktoriõpet, sest see pole nende põhikirjaline ülesanne?</w:t>
      </w:r>
      <w:r>
        <w:t xml:space="preserve"> </w:t>
      </w:r>
      <w:r>
        <w:rPr>
          <w:i/>
        </w:rPr>
        <w:t xml:space="preserve">Ei, vormis selliseid </w:t>
      </w:r>
      <w:r>
        <w:rPr>
          <w:i/>
        </w:rPr>
        <w:lastRenderedPageBreak/>
        <w:t>muutuseid ei saa teostada. Kui asutuse põhikirjaliste ülesannete hulka ei kuulu doktoriõppe andmine, siis tuleks see doktoriõppe saki kommentaaridesse kirjutada. Asjaolust, et kõik evalveeritavad asutused ei anna ega peagi andma doktoriõpet, teavitatakse eksperte eraldi ka nende juhendamisel, et see ei mõjutaks nende hinnanguid.</w:t>
      </w:r>
    </w:p>
    <w:p w:rsidR="004C6F57" w:rsidRDefault="004C6F57" w:rsidP="004C6F57">
      <w:pPr>
        <w:pStyle w:val="Loendilik"/>
      </w:pPr>
    </w:p>
    <w:p w:rsidR="00760DBB" w:rsidRPr="00760DBB" w:rsidRDefault="002207B0" w:rsidP="002207B0">
      <w:pPr>
        <w:pStyle w:val="Loendilik"/>
        <w:numPr>
          <w:ilvl w:val="0"/>
          <w:numId w:val="2"/>
        </w:numPr>
        <w:jc w:val="both"/>
      </w:pPr>
      <w:r>
        <w:rPr>
          <w:b/>
        </w:rPr>
        <w:t>Kas (positiivne) evalveerimistulemus</w:t>
      </w:r>
      <w:r w:rsidR="00000B33" w:rsidRPr="00F479BC">
        <w:rPr>
          <w:b/>
        </w:rPr>
        <w:t xml:space="preserve"> lihtsustab välisteadlaste tööle võtmist või on selle eeltingimus ehk siis evalveerimine on nõudmiseks välisteadlase tööle võtmisel? </w:t>
      </w:r>
      <w:r w:rsidR="00760DBB">
        <w:rPr>
          <w:i/>
        </w:rPr>
        <w:t xml:space="preserve">Korralisel evalveerimisel on tõepoolest seos välismaalaste töölevõtmisega, kuid see puudutab eelkõige kolmandatest riikidest pärit teadlasi </w:t>
      </w:r>
      <w:r w:rsidR="003C16A2">
        <w:rPr>
          <w:i/>
        </w:rPr>
        <w:t xml:space="preserve">ja </w:t>
      </w:r>
      <w:r w:rsidR="00760DBB">
        <w:rPr>
          <w:i/>
        </w:rPr>
        <w:t>juhul kui vastuvõttev asutus ei vasta ühelegi muule välismaalaste seaduses väljatoodud nõudele. Vastavalt välismaalaste seadusele:</w:t>
      </w:r>
    </w:p>
    <w:p w:rsidR="00760DBB" w:rsidRPr="00760DBB" w:rsidRDefault="00760DBB" w:rsidP="00760DBB">
      <w:pPr>
        <w:pStyle w:val="Loendilik"/>
        <w:rPr>
          <w:i/>
        </w:rPr>
      </w:pPr>
    </w:p>
    <w:p w:rsidR="00760DBB" w:rsidRPr="00760DBB" w:rsidRDefault="00760DBB" w:rsidP="00760DBB">
      <w:pPr>
        <w:pStyle w:val="Loendilik"/>
        <w:rPr>
          <w:i/>
        </w:rPr>
      </w:pPr>
      <w:r w:rsidRPr="00760DBB">
        <w:rPr>
          <w:i/>
        </w:rPr>
        <w:t>§ 182.  Tähtajaline elamisluba töötamiseks teadusliku tegevuse eesmärgil</w:t>
      </w:r>
    </w:p>
    <w:p w:rsidR="00760DBB" w:rsidRPr="00760DBB" w:rsidRDefault="00760DBB" w:rsidP="00760DBB">
      <w:pPr>
        <w:pStyle w:val="Loendilik"/>
        <w:rPr>
          <w:i/>
        </w:rPr>
      </w:pPr>
      <w:r w:rsidRPr="00760DBB">
        <w:rPr>
          <w:i/>
        </w:rPr>
        <w:t>(1) Tähtajaline elamisluba töötamiseks teadusliku tegevuse eesmärgil antakse, kui välismaalasel on selleks erialane ettevalmistus või kogemus ja kui:</w:t>
      </w:r>
    </w:p>
    <w:p w:rsidR="00760DBB" w:rsidRPr="00760DBB" w:rsidRDefault="00760DBB" w:rsidP="00760DBB">
      <w:pPr>
        <w:pStyle w:val="Loendilik"/>
        <w:rPr>
          <w:i/>
        </w:rPr>
      </w:pPr>
      <w:r w:rsidRPr="00760DBB">
        <w:rPr>
          <w:i/>
        </w:rPr>
        <w:t>1) Haridus- ja Teadusministeeriumi tunnustatud teadus- ja arendusasutuse teadus- ja arendustegevus on vähemalt ühes valdkonnas positiivselt evalveeritud või</w:t>
      </w:r>
    </w:p>
    <w:p w:rsidR="00760DBB" w:rsidRPr="00760DBB" w:rsidRDefault="00760DBB" w:rsidP="00760DBB">
      <w:pPr>
        <w:pStyle w:val="Loendilik"/>
        <w:rPr>
          <w:i/>
        </w:rPr>
      </w:pPr>
      <w:r w:rsidRPr="00760DBB">
        <w:rPr>
          <w:i/>
        </w:rPr>
        <w:t>2) õppeasutusel on kehtiv institutsionaalne akrediteering või</w:t>
      </w:r>
    </w:p>
    <w:p w:rsidR="00760DBB" w:rsidRPr="00760DBB" w:rsidRDefault="00760DBB" w:rsidP="00760DBB">
      <w:pPr>
        <w:pStyle w:val="Loendilik"/>
        <w:rPr>
          <w:i/>
        </w:rPr>
      </w:pPr>
      <w:r w:rsidRPr="00760DBB">
        <w:rPr>
          <w:i/>
        </w:rPr>
        <w:t>3) riigi- ja kohaliku omavalitsuse asutuste riiklikku registrisse kantud asutuse põhitegevusalaks on teadus- ja arendustöö ja</w:t>
      </w:r>
    </w:p>
    <w:p w:rsidR="00760DBB" w:rsidRPr="00760DBB" w:rsidRDefault="00760DBB" w:rsidP="00760DBB">
      <w:pPr>
        <w:pStyle w:val="Loendilik"/>
        <w:rPr>
          <w:i/>
        </w:rPr>
      </w:pPr>
      <w:r w:rsidRPr="00760DBB">
        <w:rPr>
          <w:i/>
        </w:rPr>
        <w:t>4) välismaalase ning teadus- ja arendusasutuse vahel on sõlmitud võõrustamisleping teadus- või uurimistöö tegemiseks.</w:t>
      </w:r>
    </w:p>
    <w:p w:rsidR="00760DBB" w:rsidRPr="00760DBB" w:rsidRDefault="00760DBB" w:rsidP="00760DBB">
      <w:pPr>
        <w:pStyle w:val="Loendilik"/>
        <w:rPr>
          <w:i/>
        </w:rPr>
      </w:pPr>
    </w:p>
    <w:p w:rsidR="00000B33" w:rsidRDefault="00760DBB" w:rsidP="002207B0">
      <w:pPr>
        <w:pStyle w:val="Loendilik"/>
        <w:jc w:val="both"/>
      </w:pPr>
      <w:r>
        <w:rPr>
          <w:i/>
        </w:rPr>
        <w:t>Euroopa Liidu liikmesriigi, Euroopa Majanduspiirkonna liikmesriigi ja Šveitsi konföderatsiooni kodanike Eestis viibimise õiguslikud alused sätesta</w:t>
      </w:r>
      <w:r w:rsidR="003C16A2">
        <w:rPr>
          <w:i/>
        </w:rPr>
        <w:t>b Euroopa Liidu kodaniku seadus, kus evalveerimisega seotust välja toodud ei ole – EL-s on tööjõu vaba liikumine</w:t>
      </w:r>
      <w:r>
        <w:rPr>
          <w:i/>
        </w:rPr>
        <w:t xml:space="preserve">. </w:t>
      </w:r>
    </w:p>
    <w:p w:rsidR="004C6F57" w:rsidRDefault="004C6F57" w:rsidP="004C6F57">
      <w:pPr>
        <w:pStyle w:val="Loendilik"/>
      </w:pPr>
    </w:p>
    <w:p w:rsidR="00927554" w:rsidRPr="002207B0" w:rsidRDefault="00927554" w:rsidP="002207B0">
      <w:pPr>
        <w:pStyle w:val="Loendilik"/>
        <w:numPr>
          <w:ilvl w:val="0"/>
          <w:numId w:val="2"/>
        </w:numPr>
        <w:jc w:val="both"/>
      </w:pPr>
      <w:r w:rsidRPr="00F479BC">
        <w:rPr>
          <w:b/>
        </w:rPr>
        <w:t>Kas on võimalik teha nii, et teatud isikud saavad vormi näha, kuid muudatusi teha ei saa? Kas on võimalik, et teatud isikud saavad teha muudatusi ainult kindlatesse raporti osadesse?</w:t>
      </w:r>
      <w:r>
        <w:t xml:space="preserve"> </w:t>
      </w:r>
      <w:r>
        <w:rPr>
          <w:i/>
        </w:rPr>
        <w:t xml:space="preserve">Vormi viiakse sisse muutus, läbi mille saab anda isikutele ainult vaatamisõiguseid. Vormile osade kaupa muutmisõiguste andmine ei ole praeguses vormi arendusjärgus otstarbekas. </w:t>
      </w:r>
    </w:p>
    <w:p w:rsidR="002207B0" w:rsidRPr="00927554" w:rsidRDefault="002207B0" w:rsidP="002207B0">
      <w:pPr>
        <w:pStyle w:val="Loendilik"/>
        <w:jc w:val="both"/>
      </w:pPr>
    </w:p>
    <w:p w:rsidR="00927554" w:rsidRPr="002207B0" w:rsidRDefault="004C6F57" w:rsidP="002207B0">
      <w:pPr>
        <w:pStyle w:val="Loendilik"/>
        <w:numPr>
          <w:ilvl w:val="0"/>
          <w:numId w:val="2"/>
        </w:numPr>
        <w:jc w:val="both"/>
        <w:rPr>
          <w:b/>
        </w:rPr>
      </w:pPr>
      <w:r w:rsidRPr="00F479BC">
        <w:rPr>
          <w:rFonts w:ascii="Times New Roman" w:hAnsi="Times New Roman" w:cs="Times New Roman"/>
          <w:b/>
          <w:sz w:val="24"/>
        </w:rPr>
        <w:t>Kas komisjon tutvub varasemate sihtevalveerimiste tulemustega? Kes komisjoni juhendab?</w:t>
      </w:r>
      <w:r w:rsidR="002207B0">
        <w:rPr>
          <w:rFonts w:ascii="Times New Roman" w:hAnsi="Times New Roman" w:cs="Times New Roman"/>
          <w:b/>
          <w:sz w:val="24"/>
        </w:rPr>
        <w:t xml:space="preserve"> </w:t>
      </w:r>
      <w:r w:rsidR="002207B0" w:rsidRPr="002207B0">
        <w:rPr>
          <w:rFonts w:ascii="Times New Roman" w:hAnsi="Times New Roman" w:cs="Times New Roman"/>
          <w:i/>
          <w:sz w:val="24"/>
        </w:rPr>
        <w:t>Komisjonile korraldatakse enne kohtvisiite koostöös ETAgi ja HTM-ga koolitus, kus neile tutvustatakse meie teadusmaastikku ja seal toimuvat. Kindlasti teavitatakse neid selle käigus toimunud sihtevalveerimistest. Vastavalt infopäevadel üleskerkinud küsimustele, on meil teada juba mõned spetsiifilised aspektid, millest eksperte kindlasti teavitame, kuid kui ettepanekuid olulise taustainfo osas tekib veel, siis palume sellest meid kindlasti teavitada.</w:t>
      </w:r>
      <w:r w:rsidR="002207B0">
        <w:rPr>
          <w:rFonts w:ascii="Times New Roman" w:hAnsi="Times New Roman" w:cs="Times New Roman"/>
          <w:sz w:val="24"/>
        </w:rPr>
        <w:t xml:space="preserve"> </w:t>
      </w:r>
    </w:p>
    <w:p w:rsidR="002207B0" w:rsidRPr="00F479BC" w:rsidRDefault="002207B0" w:rsidP="002207B0">
      <w:pPr>
        <w:pStyle w:val="Loendilik"/>
        <w:rPr>
          <w:b/>
        </w:rPr>
      </w:pPr>
    </w:p>
    <w:p w:rsidR="004C6F57" w:rsidRPr="002207B0" w:rsidRDefault="004C6F57" w:rsidP="004C6F57">
      <w:pPr>
        <w:pStyle w:val="Loendilik"/>
        <w:numPr>
          <w:ilvl w:val="0"/>
          <w:numId w:val="2"/>
        </w:numPr>
      </w:pPr>
      <w:r w:rsidRPr="00F479BC">
        <w:rPr>
          <w:b/>
        </w:rPr>
        <w:t>Mis seisuga kuvatakse vormis</w:t>
      </w:r>
      <w:r w:rsidR="00DB0724" w:rsidRPr="00F479BC">
        <w:rPr>
          <w:b/>
        </w:rPr>
        <w:t xml:space="preserve"> teaduskraadi omamist</w:t>
      </w:r>
      <w:r w:rsidRPr="00F479BC">
        <w:rPr>
          <w:b/>
        </w:rPr>
        <w:t>?</w:t>
      </w:r>
      <w:r>
        <w:t xml:space="preserve"> </w:t>
      </w:r>
      <w:r w:rsidR="00DB0724">
        <w:rPr>
          <w:i/>
        </w:rPr>
        <w:t>Teaduskraad läheb arvesse alates selle omandamise aastast.</w:t>
      </w:r>
    </w:p>
    <w:p w:rsidR="002207B0" w:rsidRDefault="002207B0" w:rsidP="002207B0">
      <w:pPr>
        <w:pStyle w:val="Loendilik"/>
      </w:pPr>
    </w:p>
    <w:p w:rsidR="00B24665" w:rsidRDefault="00B24665" w:rsidP="00B24665">
      <w:pPr>
        <w:pStyle w:val="Loendilik"/>
        <w:numPr>
          <w:ilvl w:val="0"/>
          <w:numId w:val="2"/>
        </w:numPr>
        <w:rPr>
          <w:i/>
        </w:rPr>
      </w:pPr>
      <w:r w:rsidRPr="00F479BC">
        <w:rPr>
          <w:b/>
        </w:rPr>
        <w:t xml:space="preserve">Kas ainult eesti keeles sisestatud projektide nimed tuleks asutusel ära tõlkida? </w:t>
      </w:r>
      <w:r w:rsidRPr="00B24665">
        <w:rPr>
          <w:i/>
        </w:rPr>
        <w:t xml:space="preserve">Jah, kui valitud kuni 30 tähtsama projekti hulka kuulub projekte, mis on ETISes vaid eestikeelse nimega, tuleks asutusel need nimed ära tõlkida. </w:t>
      </w:r>
    </w:p>
    <w:p w:rsidR="00941EBB" w:rsidRPr="00941EBB" w:rsidRDefault="00941EBB" w:rsidP="00941EBB">
      <w:pPr>
        <w:pStyle w:val="Loendilik"/>
        <w:rPr>
          <w:i/>
        </w:rPr>
      </w:pPr>
    </w:p>
    <w:p w:rsidR="00941EBB" w:rsidRPr="00B24665" w:rsidRDefault="00941EBB" w:rsidP="00941EBB">
      <w:pPr>
        <w:pStyle w:val="Loendilik"/>
        <w:rPr>
          <w:i/>
        </w:rPr>
      </w:pPr>
    </w:p>
    <w:p w:rsidR="00B24665" w:rsidRPr="00014733" w:rsidRDefault="004B1177" w:rsidP="004B1177">
      <w:pPr>
        <w:pStyle w:val="Loendilik"/>
        <w:numPr>
          <w:ilvl w:val="0"/>
          <w:numId w:val="2"/>
        </w:numPr>
        <w:rPr>
          <w:b/>
          <w:i/>
        </w:rPr>
      </w:pPr>
      <w:r w:rsidRPr="00F479BC">
        <w:rPr>
          <w:b/>
        </w:rPr>
        <w:lastRenderedPageBreak/>
        <w:t xml:space="preserve">Kuidas korraldatakse kohtvisiitide osa? Eelmine kord oli visiidi kestvus võrdlemisi lühike. Kui on mitu erinevat evalveeritavat valdkonda, kas toimuvad visiidid eraldi aegadel? Kuidas saaks asutus kohtvisiidiks ette valmistuda? </w:t>
      </w:r>
    </w:p>
    <w:p w:rsidR="00014733" w:rsidRDefault="002207B0" w:rsidP="002207B0">
      <w:pPr>
        <w:pStyle w:val="Loendilik"/>
        <w:jc w:val="both"/>
        <w:rPr>
          <w:i/>
        </w:rPr>
      </w:pPr>
      <w:r>
        <w:rPr>
          <w:i/>
        </w:rPr>
        <w:t xml:space="preserve">Kohtvisiitide kestus saab ka sel aastal olema küllalt põgus – ca pool päeva. See tuleneb otseselt sellest, et mõni komisjon peab läbi käima 10 asutust 5 päeva jooksul. Kuna eksperdid on siin 7 päeva, millest esimesel toimub neile koolitus ning viimasel alustavad nad koostöös raportite kokkupanekut ja edasist omavahelist koostööd, siis pikemaks ajaks heal tasemel eksperte kohale saada ei ole reaalne. </w:t>
      </w:r>
    </w:p>
    <w:p w:rsidR="00B13E11" w:rsidRDefault="00B13E11" w:rsidP="002207B0">
      <w:pPr>
        <w:pStyle w:val="Loendilik"/>
        <w:jc w:val="both"/>
        <w:rPr>
          <w:i/>
        </w:rPr>
      </w:pPr>
    </w:p>
    <w:p w:rsidR="00B13E11" w:rsidRDefault="00B13E11" w:rsidP="00B13E11">
      <w:pPr>
        <w:pStyle w:val="Loendilik"/>
        <w:jc w:val="both"/>
        <w:rPr>
          <w:i/>
        </w:rPr>
      </w:pPr>
      <w:r>
        <w:rPr>
          <w:i/>
        </w:rPr>
        <w:t xml:space="preserve">Visiitide toimumise sobivaima nädala kohta palume asutusel anda infot juba käesoleva kokkuvõtte kaaskirjas ning püüame korraldusel arvestada võimalikult paljude osapoolte huviga – palume siinkohal mõistvat suhtumist, kuna nädalate valik, mil kohtvisiite korraldada, on erinevate teguritega piiratud ning on võimalik, et kõigi jaoks sobivaimat aega ei eksisteerigi. </w:t>
      </w:r>
    </w:p>
    <w:p w:rsidR="00B13E11" w:rsidRDefault="00B13E11" w:rsidP="002207B0">
      <w:pPr>
        <w:pStyle w:val="Loendilik"/>
        <w:jc w:val="both"/>
        <w:rPr>
          <w:i/>
        </w:rPr>
      </w:pPr>
    </w:p>
    <w:p w:rsidR="00B13E11" w:rsidRDefault="002207B0" w:rsidP="002207B0">
      <w:pPr>
        <w:pStyle w:val="Loendilik"/>
        <w:jc w:val="both"/>
        <w:rPr>
          <w:i/>
        </w:rPr>
      </w:pPr>
      <w:r>
        <w:rPr>
          <w:i/>
        </w:rPr>
        <w:t>Visiitide täpse ajakava paneme paika jooksvalt ning proovime asutuste jaoks teha selle sujuvaks – näiteks üks kohtumine juhtkonnaga ja edasi suunduvad erinevad eksperdid tutvuma erinevate valdkondadega</w:t>
      </w:r>
      <w:r w:rsidR="00B13E11">
        <w:rPr>
          <w:i/>
        </w:rPr>
        <w:t xml:space="preserve"> asutuse sees. Kõik oleneb aga lõpuks sellest, kuidas kogu protsess täpsemalt kokku jookseb, nii et kõik eksperdid saaksid kõigis vajalikes asutustes visiidil käia. </w:t>
      </w:r>
    </w:p>
    <w:p w:rsidR="00B13E11" w:rsidRDefault="00B13E11" w:rsidP="002207B0">
      <w:pPr>
        <w:pStyle w:val="Loendilik"/>
        <w:jc w:val="both"/>
        <w:rPr>
          <w:i/>
        </w:rPr>
      </w:pPr>
    </w:p>
    <w:p w:rsidR="00B13E11" w:rsidRDefault="00B13E11" w:rsidP="002207B0">
      <w:pPr>
        <w:pStyle w:val="Loendilik"/>
        <w:jc w:val="both"/>
        <w:rPr>
          <w:i/>
        </w:rPr>
      </w:pPr>
      <w:r>
        <w:rPr>
          <w:i/>
        </w:rPr>
        <w:t>Asutuse ettevalmistus kohtvisiidiks – kohtvisiidi kohta saab täpsemalt infot hindamisjuhendist ning ülejäänu on üldiselt asutuse enda otsustada. Ekspertidel võib tekkida eneseanalüüsi vormide põhjal täiendavaid aspekte, mille kohta nad sooviksid lisainfot, sellisel juhul püüame asutusi sellest eelnevalt teavitada, et oleks ettevalmistusaega.</w:t>
      </w:r>
    </w:p>
    <w:p w:rsidR="00B13E11" w:rsidRPr="002207B0" w:rsidRDefault="00B13E11" w:rsidP="002207B0">
      <w:pPr>
        <w:pStyle w:val="Loendilik"/>
        <w:jc w:val="both"/>
        <w:rPr>
          <w:i/>
        </w:rPr>
      </w:pPr>
    </w:p>
    <w:p w:rsidR="004C6F57" w:rsidRPr="00733F64" w:rsidRDefault="004C6F57" w:rsidP="004C6F57"/>
    <w:sectPr w:rsidR="004C6F57" w:rsidRPr="00733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E2BD5"/>
    <w:multiLevelType w:val="hybridMultilevel"/>
    <w:tmpl w:val="6BEA6D8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43C05E15"/>
    <w:multiLevelType w:val="hybridMultilevel"/>
    <w:tmpl w:val="57DE5AE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6E575790"/>
    <w:multiLevelType w:val="hybridMultilevel"/>
    <w:tmpl w:val="EB42BFE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64"/>
    <w:rsid w:val="00000B33"/>
    <w:rsid w:val="00014733"/>
    <w:rsid w:val="00022284"/>
    <w:rsid w:val="000654E6"/>
    <w:rsid w:val="002207B0"/>
    <w:rsid w:val="0035173D"/>
    <w:rsid w:val="003C16A2"/>
    <w:rsid w:val="004B1177"/>
    <w:rsid w:val="004C6F57"/>
    <w:rsid w:val="004E57CF"/>
    <w:rsid w:val="00521A19"/>
    <w:rsid w:val="005B59C3"/>
    <w:rsid w:val="006905A8"/>
    <w:rsid w:val="00703F4A"/>
    <w:rsid w:val="00723201"/>
    <w:rsid w:val="00733F64"/>
    <w:rsid w:val="00752D85"/>
    <w:rsid w:val="00760DBB"/>
    <w:rsid w:val="00927554"/>
    <w:rsid w:val="00941EBB"/>
    <w:rsid w:val="00A853C1"/>
    <w:rsid w:val="00A94619"/>
    <w:rsid w:val="00B13E11"/>
    <w:rsid w:val="00B24665"/>
    <w:rsid w:val="00BC6355"/>
    <w:rsid w:val="00D54F6C"/>
    <w:rsid w:val="00DB0724"/>
    <w:rsid w:val="00F479B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0083E-2E08-4CB2-81BF-926719BB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733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6634</Characters>
  <Application>Microsoft Office Word</Application>
  <DocSecurity>0</DocSecurity>
  <Lines>55</Lines>
  <Paragraphs>15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Eva-Liisa Otsus</dc:creator>
  <cp:keywords/>
  <dc:description/>
  <cp:lastModifiedBy>Maarja Sillaste</cp:lastModifiedBy>
  <cp:revision>2</cp:revision>
  <dcterms:created xsi:type="dcterms:W3CDTF">2016-12-20T12:32:00Z</dcterms:created>
  <dcterms:modified xsi:type="dcterms:W3CDTF">2016-12-20T12:32:00Z</dcterms:modified>
</cp:coreProperties>
</file>