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6D76B" w14:textId="77777777" w:rsidR="00DC5867" w:rsidRDefault="00DC5867" w:rsidP="00DC5867">
      <w:pPr>
        <w:spacing w:after="0"/>
        <w:ind w:left="5103"/>
        <w:rPr>
          <w:rFonts w:ascii="Arial Narrow" w:hAnsi="Arial Narrow"/>
        </w:rPr>
      </w:pPr>
      <w:bookmarkStart w:id="0" w:name="_GoBack"/>
      <w:bookmarkEnd w:id="0"/>
      <w:r>
        <w:rPr>
          <w:rFonts w:ascii="Arial Narrow" w:hAnsi="Arial Narrow"/>
        </w:rPr>
        <w:t>KOOSKÕLASTATUD</w:t>
      </w:r>
    </w:p>
    <w:p w14:paraId="58231DDA" w14:textId="7410FB27" w:rsidR="00DC5867" w:rsidRDefault="00DC5867" w:rsidP="00DC5867">
      <w:pPr>
        <w:ind w:left="5103"/>
        <w:rPr>
          <w:rFonts w:ascii="Arial Narrow" w:hAnsi="Arial Narrow"/>
        </w:rPr>
      </w:pPr>
      <w:r w:rsidRPr="00694CC7">
        <w:rPr>
          <w:rFonts w:ascii="Arial Narrow" w:hAnsi="Arial Narrow"/>
        </w:rPr>
        <w:t>Haridus- ja teadusm</w:t>
      </w:r>
      <w:r>
        <w:rPr>
          <w:rFonts w:ascii="Arial Narrow" w:hAnsi="Arial Narrow"/>
        </w:rPr>
        <w:t>inisteeriumiga 24.03.2017 (kiri</w:t>
      </w:r>
      <w:r w:rsidRPr="00694CC7">
        <w:rPr>
          <w:rFonts w:ascii="Arial Narrow" w:hAnsi="Arial Narrow"/>
        </w:rPr>
        <w:t xml:space="preserve"> nr </w:t>
      </w:r>
      <w:r>
        <w:rPr>
          <w:rFonts w:ascii="Arial Narrow" w:hAnsi="Arial Narrow"/>
        </w:rPr>
        <w:t>10-1.4/17/1253-2)</w:t>
      </w:r>
    </w:p>
    <w:p w14:paraId="563D294F" w14:textId="77777777" w:rsidR="00DC5867" w:rsidRDefault="00DC5867" w:rsidP="00DC5867">
      <w:pPr>
        <w:spacing w:after="0"/>
        <w:ind w:left="5103"/>
        <w:rPr>
          <w:rFonts w:ascii="Arial Narrow" w:hAnsi="Arial Narrow"/>
        </w:rPr>
      </w:pPr>
      <w:r>
        <w:rPr>
          <w:rFonts w:ascii="Arial Narrow" w:hAnsi="Arial Narrow"/>
        </w:rPr>
        <w:t>KINNITATUD</w:t>
      </w:r>
      <w:r w:rsidRPr="006301B2">
        <w:rPr>
          <w:rFonts w:ascii="Arial Narrow" w:hAnsi="Arial Narrow"/>
        </w:rPr>
        <w:t xml:space="preserve"> </w:t>
      </w:r>
    </w:p>
    <w:p w14:paraId="036691DF" w14:textId="75079E76" w:rsidR="00DC5867" w:rsidRPr="006301B2" w:rsidRDefault="00DC5867" w:rsidP="00DC5867">
      <w:pPr>
        <w:ind w:left="5103"/>
        <w:rPr>
          <w:rFonts w:ascii="Arial Narrow" w:hAnsi="Arial Narrow"/>
        </w:rPr>
      </w:pPr>
      <w:r w:rsidRPr="006301B2">
        <w:rPr>
          <w:rFonts w:ascii="Arial Narrow" w:hAnsi="Arial Narrow"/>
        </w:rPr>
        <w:t>SA Eesti Teadusagentuur</w:t>
      </w:r>
      <w:r>
        <w:rPr>
          <w:rFonts w:ascii="Arial Narrow" w:hAnsi="Arial Narrow"/>
        </w:rPr>
        <w:t>i</w:t>
      </w:r>
      <w:r w:rsidRPr="006301B2">
        <w:rPr>
          <w:rFonts w:ascii="Arial Narrow" w:hAnsi="Arial Narrow"/>
        </w:rPr>
        <w:t xml:space="preserve"> juhatuse </w:t>
      </w:r>
      <w:r>
        <w:rPr>
          <w:rFonts w:ascii="Arial Narrow" w:hAnsi="Arial Narrow"/>
        </w:rPr>
        <w:t xml:space="preserve">29.03.2017 </w:t>
      </w:r>
      <w:r w:rsidRPr="006301B2">
        <w:rPr>
          <w:rFonts w:ascii="Arial Narrow" w:hAnsi="Arial Narrow"/>
        </w:rPr>
        <w:t xml:space="preserve">käskkirjaga nr </w:t>
      </w:r>
      <w:r w:rsidRPr="00DC5867">
        <w:rPr>
          <w:rFonts w:ascii="Arial Narrow" w:hAnsi="Arial Narrow"/>
        </w:rPr>
        <w:t>1.1-4/17/55</w:t>
      </w:r>
    </w:p>
    <w:p w14:paraId="50B59ED8" w14:textId="77777777" w:rsidR="006301B2" w:rsidRDefault="006301B2" w:rsidP="00A428F1">
      <w:pPr>
        <w:jc w:val="both"/>
        <w:rPr>
          <w:rFonts w:ascii="Arial Narrow" w:hAnsi="Arial Narrow"/>
          <w:b/>
          <w:sz w:val="24"/>
          <w:szCs w:val="24"/>
        </w:rPr>
      </w:pPr>
    </w:p>
    <w:p w14:paraId="61AFB47E" w14:textId="3206FA1B" w:rsidR="00213CFA" w:rsidRDefault="006301B2" w:rsidP="00A428F1">
      <w:pPr>
        <w:jc w:val="both"/>
        <w:rPr>
          <w:rFonts w:ascii="Arial Narrow" w:hAnsi="Arial Narrow"/>
          <w:b/>
          <w:sz w:val="24"/>
          <w:szCs w:val="24"/>
        </w:rPr>
      </w:pPr>
      <w:r>
        <w:rPr>
          <w:rFonts w:ascii="Arial Narrow" w:hAnsi="Arial Narrow"/>
          <w:b/>
          <w:sz w:val="24"/>
          <w:szCs w:val="24"/>
        </w:rPr>
        <w:t>Teadus- ja arendustegevuse k</w:t>
      </w:r>
      <w:r w:rsidR="000556A7" w:rsidRPr="003B6E9F">
        <w:rPr>
          <w:rFonts w:ascii="Arial Narrow" w:hAnsi="Arial Narrow"/>
          <w:b/>
          <w:sz w:val="24"/>
          <w:szCs w:val="24"/>
        </w:rPr>
        <w:t xml:space="preserve">orralise </w:t>
      </w:r>
      <w:proofErr w:type="spellStart"/>
      <w:r w:rsidR="000556A7" w:rsidRPr="003B6E9F">
        <w:rPr>
          <w:rFonts w:ascii="Arial Narrow" w:hAnsi="Arial Narrow"/>
          <w:b/>
          <w:sz w:val="24"/>
          <w:szCs w:val="24"/>
        </w:rPr>
        <w:t>evalveerimise</w:t>
      </w:r>
      <w:proofErr w:type="spellEnd"/>
      <w:r w:rsidR="000556A7" w:rsidRPr="003B6E9F">
        <w:rPr>
          <w:rFonts w:ascii="Arial Narrow" w:hAnsi="Arial Narrow"/>
          <w:b/>
          <w:sz w:val="24"/>
          <w:szCs w:val="24"/>
        </w:rPr>
        <w:t xml:space="preserve"> hindamisjuhend</w:t>
      </w:r>
    </w:p>
    <w:p w14:paraId="2EC42425" w14:textId="77777777" w:rsidR="00052818" w:rsidRPr="003B6E9F" w:rsidRDefault="00052818" w:rsidP="00A428F1">
      <w:pPr>
        <w:jc w:val="both"/>
        <w:rPr>
          <w:rFonts w:ascii="Arial Narrow" w:hAnsi="Arial Narrow"/>
          <w:b/>
          <w:sz w:val="24"/>
          <w:szCs w:val="24"/>
        </w:rPr>
      </w:pPr>
    </w:p>
    <w:p w14:paraId="670520BD" w14:textId="06CFBBD3" w:rsidR="006C3B31" w:rsidRPr="005A4AD7" w:rsidRDefault="006C3B31" w:rsidP="005A4AD7">
      <w:pPr>
        <w:pStyle w:val="Loendilik"/>
        <w:numPr>
          <w:ilvl w:val="0"/>
          <w:numId w:val="28"/>
        </w:numPr>
        <w:jc w:val="both"/>
        <w:rPr>
          <w:rFonts w:ascii="Arial Narrow" w:hAnsi="Arial Narrow"/>
          <w:b/>
        </w:rPr>
      </w:pPr>
      <w:r w:rsidRPr="005A4AD7">
        <w:rPr>
          <w:rFonts w:ascii="Arial Narrow" w:hAnsi="Arial Narrow"/>
          <w:b/>
        </w:rPr>
        <w:t>Teadus</w:t>
      </w:r>
      <w:r w:rsidR="005A4AD7">
        <w:rPr>
          <w:rFonts w:ascii="Arial Narrow" w:hAnsi="Arial Narrow"/>
          <w:b/>
        </w:rPr>
        <w:t>- ja arendustegevus</w:t>
      </w:r>
      <w:r w:rsidRPr="005A4AD7">
        <w:rPr>
          <w:rFonts w:ascii="Arial Narrow" w:hAnsi="Arial Narrow"/>
          <w:b/>
        </w:rPr>
        <w:t xml:space="preserve">e korralise </w:t>
      </w:r>
      <w:proofErr w:type="spellStart"/>
      <w:r w:rsidRPr="005A4AD7">
        <w:rPr>
          <w:rFonts w:ascii="Arial Narrow" w:hAnsi="Arial Narrow"/>
          <w:b/>
        </w:rPr>
        <w:t>evalveerimise</w:t>
      </w:r>
      <w:proofErr w:type="spellEnd"/>
      <w:r w:rsidRPr="005A4AD7">
        <w:rPr>
          <w:rFonts w:ascii="Arial Narrow" w:hAnsi="Arial Narrow"/>
          <w:b/>
        </w:rPr>
        <w:t xml:space="preserve"> regulatiivne raamistik</w:t>
      </w:r>
    </w:p>
    <w:p w14:paraId="4F47FFBC" w14:textId="7C035F5A" w:rsidR="006C3B31" w:rsidRDefault="005404C4" w:rsidP="006C3B31">
      <w:pPr>
        <w:spacing w:before="100" w:beforeAutospacing="1" w:after="100" w:afterAutospacing="1" w:line="240" w:lineRule="auto"/>
        <w:jc w:val="both"/>
        <w:outlineLvl w:val="2"/>
        <w:rPr>
          <w:rFonts w:ascii="Arial Narrow" w:eastAsia="Times New Roman" w:hAnsi="Arial Narrow" w:cs="Times New Roman"/>
          <w:bCs/>
          <w:lang w:eastAsia="et-EE"/>
        </w:rPr>
      </w:pPr>
      <w:r>
        <w:rPr>
          <w:rFonts w:ascii="Arial Narrow" w:eastAsia="Times New Roman" w:hAnsi="Arial Narrow" w:cs="Times New Roman"/>
          <w:bCs/>
          <w:lang w:eastAsia="et-EE"/>
        </w:rPr>
        <w:t>Teadus</w:t>
      </w:r>
      <w:r w:rsidR="005A4AD7">
        <w:rPr>
          <w:rFonts w:ascii="Arial Narrow" w:eastAsia="Times New Roman" w:hAnsi="Arial Narrow" w:cs="Times New Roman"/>
          <w:bCs/>
          <w:lang w:eastAsia="et-EE"/>
        </w:rPr>
        <w:t>- ja arendustegevus</w:t>
      </w:r>
      <w:r>
        <w:rPr>
          <w:rFonts w:ascii="Arial Narrow" w:eastAsia="Times New Roman" w:hAnsi="Arial Narrow" w:cs="Times New Roman"/>
          <w:bCs/>
          <w:lang w:eastAsia="et-EE"/>
        </w:rPr>
        <w:t>e korraline</w:t>
      </w:r>
      <w:r w:rsidR="00291D3C">
        <w:rPr>
          <w:rFonts w:ascii="Arial Narrow" w:eastAsia="Times New Roman" w:hAnsi="Arial Narrow" w:cs="Times New Roman"/>
          <w:bCs/>
          <w:lang w:eastAsia="et-EE"/>
        </w:rPr>
        <w:t xml:space="preserve"> </w:t>
      </w:r>
      <w:proofErr w:type="spellStart"/>
      <w:r w:rsidR="00291D3C">
        <w:rPr>
          <w:rFonts w:ascii="Arial Narrow" w:eastAsia="Times New Roman" w:hAnsi="Arial Narrow" w:cs="Times New Roman"/>
          <w:bCs/>
          <w:lang w:eastAsia="et-EE"/>
        </w:rPr>
        <w:t>evalveerimine</w:t>
      </w:r>
      <w:proofErr w:type="spellEnd"/>
      <w:r w:rsidR="00291D3C">
        <w:rPr>
          <w:rFonts w:ascii="Arial Narrow" w:eastAsia="Times New Roman" w:hAnsi="Arial Narrow" w:cs="Times New Roman"/>
          <w:bCs/>
          <w:lang w:eastAsia="et-EE"/>
        </w:rPr>
        <w:t xml:space="preserve"> </w:t>
      </w:r>
      <w:r w:rsidR="00EC2D96">
        <w:rPr>
          <w:rFonts w:ascii="Arial Narrow" w:eastAsia="Times New Roman" w:hAnsi="Arial Narrow" w:cs="Times New Roman"/>
          <w:bCs/>
          <w:lang w:eastAsia="et-EE"/>
        </w:rPr>
        <w:t xml:space="preserve">(edaspidi </w:t>
      </w:r>
      <w:r w:rsidR="005A4AD7">
        <w:rPr>
          <w:rFonts w:ascii="Arial Narrow" w:eastAsia="Times New Roman" w:hAnsi="Arial Narrow" w:cs="Times New Roman"/>
          <w:bCs/>
          <w:lang w:eastAsia="et-EE"/>
        </w:rPr>
        <w:t xml:space="preserve">korraline </w:t>
      </w:r>
      <w:proofErr w:type="spellStart"/>
      <w:r w:rsidR="005A4AD7">
        <w:rPr>
          <w:rFonts w:ascii="Arial Narrow" w:eastAsia="Times New Roman" w:hAnsi="Arial Narrow" w:cs="Times New Roman"/>
          <w:bCs/>
          <w:lang w:eastAsia="et-EE"/>
        </w:rPr>
        <w:t>evalveerimine</w:t>
      </w:r>
      <w:proofErr w:type="spellEnd"/>
      <w:r w:rsidR="00EC2D96">
        <w:rPr>
          <w:rFonts w:ascii="Arial Narrow" w:eastAsia="Times New Roman" w:hAnsi="Arial Narrow" w:cs="Times New Roman"/>
          <w:bCs/>
          <w:lang w:eastAsia="et-EE"/>
        </w:rPr>
        <w:t xml:space="preserve">) </w:t>
      </w:r>
      <w:r w:rsidR="00291D3C">
        <w:rPr>
          <w:rFonts w:ascii="Arial Narrow" w:eastAsia="Times New Roman" w:hAnsi="Arial Narrow" w:cs="Times New Roman"/>
          <w:bCs/>
          <w:lang w:eastAsia="et-EE"/>
        </w:rPr>
        <w:t xml:space="preserve">on </w:t>
      </w:r>
      <w:r w:rsidR="00D65809">
        <w:rPr>
          <w:rFonts w:ascii="Arial Narrow" w:eastAsia="Times New Roman" w:hAnsi="Arial Narrow" w:cs="Times New Roman"/>
          <w:bCs/>
          <w:lang w:eastAsia="et-EE"/>
        </w:rPr>
        <w:t xml:space="preserve">reguleeritud </w:t>
      </w:r>
      <w:r w:rsidR="00291D3C">
        <w:rPr>
          <w:rFonts w:ascii="Arial Narrow" w:eastAsia="Times New Roman" w:hAnsi="Arial Narrow" w:cs="Times New Roman"/>
          <w:bCs/>
          <w:lang w:eastAsia="et-EE"/>
        </w:rPr>
        <w:t>järgmiste õigusaktidega:</w:t>
      </w:r>
      <w:r w:rsidR="006C3B31" w:rsidRPr="00EE23D0">
        <w:rPr>
          <w:rFonts w:ascii="Arial Narrow" w:eastAsia="Times New Roman" w:hAnsi="Arial Narrow" w:cs="Times New Roman"/>
          <w:bCs/>
          <w:lang w:eastAsia="et-EE"/>
        </w:rPr>
        <w:t xml:space="preserve"> </w:t>
      </w:r>
      <w:hyperlink r:id="rId8" w:history="1">
        <w:r w:rsidR="00EC2D96">
          <w:rPr>
            <w:rStyle w:val="Hperlink"/>
            <w:rFonts w:ascii="Arial Narrow" w:eastAsia="Times New Roman" w:hAnsi="Arial Narrow" w:cs="Times New Roman"/>
            <w:bCs/>
            <w:lang w:eastAsia="et-EE"/>
          </w:rPr>
          <w:t>t</w:t>
        </w:r>
        <w:r w:rsidR="006C3B31" w:rsidRPr="006A7EF0">
          <w:rPr>
            <w:rStyle w:val="Hperlink"/>
            <w:rFonts w:ascii="Arial Narrow" w:eastAsia="Times New Roman" w:hAnsi="Arial Narrow" w:cs="Times New Roman"/>
            <w:bCs/>
            <w:lang w:eastAsia="et-EE"/>
          </w:rPr>
          <w:t>eadus- ja are</w:t>
        </w:r>
        <w:r w:rsidR="00291D3C" w:rsidRPr="006A7EF0">
          <w:rPr>
            <w:rStyle w:val="Hperlink"/>
            <w:rFonts w:ascii="Arial Narrow" w:eastAsia="Times New Roman" w:hAnsi="Arial Narrow" w:cs="Times New Roman"/>
            <w:bCs/>
            <w:lang w:eastAsia="et-EE"/>
          </w:rPr>
          <w:t>ndustegevuse korralduse seadus</w:t>
        </w:r>
      </w:hyperlink>
      <w:r w:rsidR="006C3B31" w:rsidRPr="00EE23D0">
        <w:rPr>
          <w:rFonts w:ascii="Arial Narrow" w:eastAsia="Times New Roman" w:hAnsi="Arial Narrow" w:cs="Times New Roman"/>
          <w:bCs/>
          <w:lang w:eastAsia="et-EE"/>
        </w:rPr>
        <w:t xml:space="preserve"> </w:t>
      </w:r>
      <w:r w:rsidR="00291D3C">
        <w:rPr>
          <w:rFonts w:ascii="Arial Narrow" w:eastAsia="Times New Roman" w:hAnsi="Arial Narrow" w:cs="Times New Roman"/>
          <w:bCs/>
          <w:lang w:eastAsia="et-EE"/>
        </w:rPr>
        <w:t>(</w:t>
      </w:r>
      <w:r w:rsidR="00EC2D96">
        <w:rPr>
          <w:rFonts w:ascii="Arial Narrow" w:eastAsia="Times New Roman" w:hAnsi="Arial Narrow" w:cs="Times New Roman"/>
          <w:bCs/>
          <w:lang w:eastAsia="et-EE"/>
        </w:rPr>
        <w:t xml:space="preserve">edaspidi </w:t>
      </w:r>
      <w:r w:rsidR="00291D3C">
        <w:rPr>
          <w:rFonts w:ascii="Arial Narrow" w:eastAsia="Times New Roman" w:hAnsi="Arial Narrow" w:cs="Times New Roman"/>
          <w:bCs/>
          <w:lang w:eastAsia="et-EE"/>
        </w:rPr>
        <w:t>TAKS),</w:t>
      </w:r>
      <w:r w:rsidR="006C3B31" w:rsidRPr="00EE23D0">
        <w:rPr>
          <w:rFonts w:ascii="Arial Narrow" w:eastAsia="Times New Roman" w:hAnsi="Arial Narrow" w:cs="Times New Roman"/>
          <w:bCs/>
          <w:lang w:eastAsia="et-EE"/>
        </w:rPr>
        <w:t xml:space="preserve"> </w:t>
      </w:r>
      <w:hyperlink r:id="rId9" w:history="1">
        <w:r w:rsidR="00EC2D96">
          <w:rPr>
            <w:rStyle w:val="Hperlink"/>
            <w:rFonts w:ascii="Arial Narrow" w:eastAsia="Times New Roman" w:hAnsi="Arial Narrow" w:cs="Times New Roman"/>
            <w:bCs/>
            <w:lang w:eastAsia="et-EE"/>
          </w:rPr>
          <w:t>ü</w:t>
        </w:r>
        <w:r w:rsidR="006C3B31" w:rsidRPr="006A7EF0">
          <w:rPr>
            <w:rStyle w:val="Hperlink"/>
            <w:rFonts w:ascii="Arial Narrow" w:eastAsia="Times New Roman" w:hAnsi="Arial Narrow" w:cs="Times New Roman"/>
            <w:bCs/>
            <w:lang w:eastAsia="et-EE"/>
          </w:rPr>
          <w:t>likooliseadu</w:t>
        </w:r>
        <w:r w:rsidR="006A7EF0" w:rsidRPr="006A7EF0">
          <w:rPr>
            <w:rStyle w:val="Hperlink"/>
            <w:rFonts w:ascii="Arial Narrow" w:eastAsia="Times New Roman" w:hAnsi="Arial Narrow" w:cs="Times New Roman"/>
            <w:bCs/>
            <w:lang w:eastAsia="et-EE"/>
          </w:rPr>
          <w:t>s</w:t>
        </w:r>
      </w:hyperlink>
      <w:r w:rsidR="00D3227A" w:rsidRPr="00EE23D0">
        <w:rPr>
          <w:rFonts w:ascii="Arial Narrow" w:eastAsia="Times New Roman" w:hAnsi="Arial Narrow" w:cs="Times New Roman"/>
          <w:bCs/>
          <w:lang w:eastAsia="et-EE"/>
        </w:rPr>
        <w:t xml:space="preserve"> (</w:t>
      </w:r>
      <w:r w:rsidR="00EC2D96">
        <w:rPr>
          <w:rFonts w:ascii="Arial Narrow" w:eastAsia="Times New Roman" w:hAnsi="Arial Narrow" w:cs="Times New Roman"/>
          <w:bCs/>
          <w:lang w:eastAsia="et-EE"/>
        </w:rPr>
        <w:t xml:space="preserve">edaspidi </w:t>
      </w:r>
      <w:r w:rsidR="00D3227A" w:rsidRPr="00EE23D0">
        <w:rPr>
          <w:rFonts w:ascii="Arial Narrow" w:eastAsia="Times New Roman" w:hAnsi="Arial Narrow" w:cs="Times New Roman"/>
          <w:bCs/>
          <w:lang w:eastAsia="et-EE"/>
        </w:rPr>
        <w:t>ÜS)</w:t>
      </w:r>
      <w:r w:rsidR="006A7EF0">
        <w:rPr>
          <w:rFonts w:ascii="Arial Narrow" w:eastAsia="Times New Roman" w:hAnsi="Arial Narrow" w:cs="Times New Roman"/>
          <w:bCs/>
          <w:lang w:eastAsia="et-EE"/>
        </w:rPr>
        <w:t>,</w:t>
      </w:r>
      <w:r w:rsidR="006C3B31" w:rsidRPr="00EE23D0">
        <w:rPr>
          <w:rFonts w:ascii="Arial Narrow" w:eastAsia="Times New Roman" w:hAnsi="Arial Narrow" w:cs="Times New Roman"/>
          <w:bCs/>
          <w:lang w:eastAsia="et-EE"/>
        </w:rPr>
        <w:t xml:space="preserve"> </w:t>
      </w:r>
      <w:r w:rsidR="00291D3C" w:rsidRPr="00291D3C">
        <w:rPr>
          <w:rFonts w:ascii="Arial Narrow" w:eastAsia="Times New Roman" w:hAnsi="Arial Narrow" w:cs="Times New Roman"/>
          <w:bCs/>
          <w:lang w:eastAsia="et-EE"/>
        </w:rPr>
        <w:t>haridus- ja teadusministri</w:t>
      </w:r>
      <w:r w:rsidR="00EC039F">
        <w:rPr>
          <w:rFonts w:ascii="Arial Narrow" w:eastAsia="Times New Roman" w:hAnsi="Arial Narrow" w:cs="Times New Roman"/>
          <w:bCs/>
          <w:lang w:eastAsia="et-EE"/>
        </w:rPr>
        <w:t xml:space="preserve"> 1. novembri 2016</w:t>
      </w:r>
      <w:r w:rsidR="00291D3C" w:rsidRPr="00291D3C">
        <w:rPr>
          <w:rFonts w:ascii="Arial Narrow" w:eastAsia="Times New Roman" w:hAnsi="Arial Narrow" w:cs="Times New Roman"/>
          <w:bCs/>
          <w:lang w:eastAsia="et-EE"/>
        </w:rPr>
        <w:t xml:space="preserve"> määrus </w:t>
      </w:r>
      <w:r w:rsidR="00D65809">
        <w:rPr>
          <w:rFonts w:ascii="Arial Narrow" w:eastAsia="Times New Roman" w:hAnsi="Arial Narrow" w:cs="Times New Roman"/>
          <w:bCs/>
          <w:lang w:eastAsia="et-EE"/>
        </w:rPr>
        <w:t xml:space="preserve">nr 60 </w:t>
      </w:r>
      <w:r w:rsidR="00EC2D96">
        <w:rPr>
          <w:rFonts w:ascii="Arial Narrow" w:eastAsia="Times New Roman" w:hAnsi="Arial Narrow" w:cs="Times New Roman"/>
          <w:bCs/>
          <w:lang w:eastAsia="et-EE"/>
        </w:rPr>
        <w:t>„</w:t>
      </w:r>
      <w:hyperlink r:id="rId10" w:history="1">
        <w:r w:rsidR="00291D3C" w:rsidRPr="00EC039F">
          <w:rPr>
            <w:rStyle w:val="Hperlink"/>
            <w:rFonts w:ascii="Arial Narrow" w:eastAsia="Times New Roman" w:hAnsi="Arial Narrow" w:cs="Times New Roman"/>
            <w:bCs/>
            <w:lang w:eastAsia="et-EE"/>
          </w:rPr>
          <w:t xml:space="preserve">Teadus- ja arendustegevuse korralise </w:t>
        </w:r>
        <w:proofErr w:type="spellStart"/>
        <w:r w:rsidR="00291D3C" w:rsidRPr="00EC039F">
          <w:rPr>
            <w:rStyle w:val="Hperlink"/>
            <w:rFonts w:ascii="Arial Narrow" w:eastAsia="Times New Roman" w:hAnsi="Arial Narrow" w:cs="Times New Roman"/>
            <w:bCs/>
            <w:lang w:eastAsia="et-EE"/>
          </w:rPr>
          <w:t>evalveerimise</w:t>
        </w:r>
        <w:proofErr w:type="spellEnd"/>
        <w:r w:rsidR="00291D3C" w:rsidRPr="00EC039F">
          <w:rPr>
            <w:rStyle w:val="Hperlink"/>
            <w:rFonts w:ascii="Arial Narrow" w:eastAsia="Times New Roman" w:hAnsi="Arial Narrow" w:cs="Times New Roman"/>
            <w:bCs/>
            <w:lang w:eastAsia="et-EE"/>
          </w:rPr>
          <w:t xml:space="preserve"> taotlemise, läbiviimise ja tulemuse kinnitamise täpsemad tingimused ja kord</w:t>
        </w:r>
      </w:hyperlink>
      <w:r w:rsidR="00EC2D96">
        <w:rPr>
          <w:rStyle w:val="Hperlink"/>
          <w:rFonts w:ascii="Arial Narrow" w:eastAsia="Times New Roman" w:hAnsi="Arial Narrow" w:cs="Times New Roman"/>
          <w:bCs/>
          <w:lang w:eastAsia="et-EE"/>
        </w:rPr>
        <w:t>“</w:t>
      </w:r>
      <w:r w:rsidR="00291D3C" w:rsidRPr="00291D3C">
        <w:rPr>
          <w:rFonts w:ascii="Arial Narrow" w:eastAsia="Times New Roman" w:hAnsi="Arial Narrow" w:cs="Times New Roman"/>
          <w:bCs/>
          <w:lang w:eastAsia="et-EE"/>
        </w:rPr>
        <w:t xml:space="preserve"> ning sellega seonduv hindamiskomisjoni moodustamise ja selle töökorra kinnitamise käskkiri</w:t>
      </w:r>
      <w:r w:rsidR="002F198A">
        <w:rPr>
          <w:rFonts w:ascii="Arial Narrow" w:eastAsia="Times New Roman" w:hAnsi="Arial Narrow" w:cs="Times New Roman"/>
          <w:bCs/>
          <w:lang w:eastAsia="et-EE"/>
        </w:rPr>
        <w:t xml:space="preserve"> </w:t>
      </w:r>
      <w:r w:rsidR="00694CC7">
        <w:rPr>
          <w:rFonts w:ascii="Arial Narrow" w:eastAsia="Times New Roman" w:hAnsi="Arial Narrow" w:cs="Times New Roman"/>
          <w:bCs/>
          <w:lang w:eastAsia="et-EE"/>
        </w:rPr>
        <w:t>„</w:t>
      </w:r>
      <w:r w:rsidR="00694CC7" w:rsidRPr="00193815">
        <w:rPr>
          <w:rFonts w:ascii="Arial Narrow" w:eastAsia="Times New Roman" w:hAnsi="Arial Narrow" w:cs="Times New Roman"/>
          <w:bCs/>
          <w:lang w:eastAsia="et-EE"/>
        </w:rPr>
        <w:t>Hindamiskomisjoni kinnitamine ja töökord</w:t>
      </w:r>
      <w:r w:rsidR="00694CC7">
        <w:rPr>
          <w:rFonts w:ascii="Arial Narrow" w:eastAsia="Times New Roman" w:hAnsi="Arial Narrow" w:cs="Times New Roman"/>
          <w:bCs/>
          <w:lang w:eastAsia="et-EE"/>
        </w:rPr>
        <w:t>“</w:t>
      </w:r>
      <w:r w:rsidR="00694CC7" w:rsidRPr="00694CC7">
        <w:rPr>
          <w:rFonts w:ascii="Arial Narrow" w:eastAsia="Times New Roman" w:hAnsi="Arial Narrow" w:cs="Times New Roman"/>
          <w:bCs/>
          <w:lang w:eastAsia="et-EE"/>
        </w:rPr>
        <w:t xml:space="preserve"> </w:t>
      </w:r>
      <w:r w:rsidR="00694CC7">
        <w:rPr>
          <w:rFonts w:ascii="Arial Narrow" w:eastAsia="Times New Roman" w:hAnsi="Arial Narrow" w:cs="Times New Roman"/>
          <w:bCs/>
          <w:lang w:eastAsia="et-EE"/>
        </w:rPr>
        <w:t>(edaspidi käskkiri), mis kinnitatakse pärast komisjoni liikmete valikut</w:t>
      </w:r>
      <w:r w:rsidR="00694CC7" w:rsidRPr="00291D3C">
        <w:rPr>
          <w:rFonts w:ascii="Arial Narrow" w:eastAsia="Times New Roman" w:hAnsi="Arial Narrow" w:cs="Times New Roman"/>
          <w:bCs/>
          <w:lang w:eastAsia="et-EE"/>
        </w:rPr>
        <w:t>.</w:t>
      </w:r>
    </w:p>
    <w:p w14:paraId="6EC0CDFF" w14:textId="3E391DBB" w:rsidR="00BB1356" w:rsidRPr="005404C4" w:rsidRDefault="005404C4" w:rsidP="006C3B31">
      <w:pPr>
        <w:spacing w:before="100" w:beforeAutospacing="1" w:after="100" w:afterAutospacing="1" w:line="240" w:lineRule="auto"/>
        <w:jc w:val="both"/>
        <w:outlineLvl w:val="2"/>
        <w:rPr>
          <w:rFonts w:ascii="Arial Narrow" w:eastAsia="Times New Roman" w:hAnsi="Arial Narrow" w:cs="Times New Roman"/>
          <w:bCs/>
          <w:lang w:eastAsia="et-EE"/>
        </w:rPr>
      </w:pPr>
      <w:r w:rsidRPr="005404C4">
        <w:rPr>
          <w:rFonts w:ascii="Arial Narrow" w:hAnsi="Arial Narrow"/>
        </w:rPr>
        <w:t xml:space="preserve">Vastavalt </w:t>
      </w:r>
      <w:proofErr w:type="spellStart"/>
      <w:r w:rsidRPr="005404C4">
        <w:rPr>
          <w:rFonts w:ascii="Arial Narrow" w:hAnsi="Arial Narrow"/>
        </w:rPr>
        <w:t>TAKS-ile</w:t>
      </w:r>
      <w:proofErr w:type="spellEnd"/>
      <w:r w:rsidRPr="005404C4">
        <w:rPr>
          <w:rFonts w:ascii="Arial Narrow" w:hAnsi="Arial Narrow"/>
        </w:rPr>
        <w:t xml:space="preserve"> on </w:t>
      </w:r>
      <w:r w:rsidR="005A4AD7">
        <w:rPr>
          <w:rFonts w:ascii="Arial Narrow" w:hAnsi="Arial Narrow"/>
        </w:rPr>
        <w:t xml:space="preserve">korralise </w:t>
      </w:r>
      <w:proofErr w:type="spellStart"/>
      <w:r w:rsidR="005A4AD7">
        <w:rPr>
          <w:rFonts w:ascii="Arial Narrow" w:hAnsi="Arial Narrow"/>
        </w:rPr>
        <w:t>evalveerimise</w:t>
      </w:r>
      <w:proofErr w:type="spellEnd"/>
      <w:r w:rsidRPr="005404C4">
        <w:rPr>
          <w:rFonts w:ascii="Arial Narrow" w:hAnsi="Arial Narrow"/>
        </w:rPr>
        <w:t xml:space="preserve"> eesmärk hinnata asutuse vastavas </w:t>
      </w:r>
      <w:r w:rsidR="00EC2D96" w:rsidRPr="00EE23D0">
        <w:rPr>
          <w:rFonts w:ascii="Arial Narrow" w:hAnsi="Arial Narrow"/>
        </w:rPr>
        <w:t xml:space="preserve">teadus- ja arendustegevuse </w:t>
      </w:r>
      <w:r w:rsidR="00EC2D96">
        <w:rPr>
          <w:rFonts w:ascii="Arial Narrow" w:hAnsi="Arial Narrow"/>
        </w:rPr>
        <w:t xml:space="preserve">(edaspidi </w:t>
      </w:r>
      <w:r w:rsidRPr="005404C4">
        <w:rPr>
          <w:rFonts w:ascii="Arial Narrow" w:hAnsi="Arial Narrow"/>
        </w:rPr>
        <w:t>TA</w:t>
      </w:r>
      <w:r w:rsidR="00EC2D96">
        <w:rPr>
          <w:rFonts w:ascii="Arial Narrow" w:hAnsi="Arial Narrow"/>
        </w:rPr>
        <w:t>)</w:t>
      </w:r>
      <w:r w:rsidRPr="005404C4">
        <w:rPr>
          <w:rFonts w:ascii="Arial Narrow" w:hAnsi="Arial Narrow"/>
        </w:rPr>
        <w:t xml:space="preserve"> valdkonnas (edaspidi valdkond) TA taset, võrreldes seda rahvusvaheliselt tunnustatud kriteeriumidega.</w:t>
      </w:r>
      <w:r w:rsidR="00C7302C">
        <w:rPr>
          <w:rFonts w:ascii="Arial Narrow" w:hAnsi="Arial Narrow"/>
        </w:rPr>
        <w:t xml:space="preserve"> </w:t>
      </w:r>
      <w:r w:rsidR="00623460" w:rsidRPr="00623460">
        <w:rPr>
          <w:rFonts w:ascii="Arial Narrow" w:hAnsi="Arial Narrow"/>
        </w:rPr>
        <w:t>SA Eesti Te</w:t>
      </w:r>
      <w:r w:rsidR="00623460">
        <w:rPr>
          <w:rFonts w:ascii="Arial Narrow" w:hAnsi="Arial Narrow"/>
        </w:rPr>
        <w:t>adusagentuuri põhikirja punkt</w:t>
      </w:r>
      <w:r w:rsidR="00623460" w:rsidRPr="00623460">
        <w:rPr>
          <w:rFonts w:ascii="Arial Narrow" w:hAnsi="Arial Narrow"/>
        </w:rPr>
        <w:t xml:space="preserve"> 2.2.7</w:t>
      </w:r>
      <w:r w:rsidR="005A4AD7">
        <w:rPr>
          <w:rFonts w:ascii="Arial Narrow" w:hAnsi="Arial Narrow"/>
        </w:rPr>
        <w:t xml:space="preserve"> </w:t>
      </w:r>
      <w:r w:rsidR="00C7302C">
        <w:rPr>
          <w:rFonts w:ascii="Arial Narrow" w:hAnsi="Arial Narrow"/>
        </w:rPr>
        <w:t xml:space="preserve">alusel korraldab korralist </w:t>
      </w:r>
      <w:proofErr w:type="spellStart"/>
      <w:r w:rsidR="00C7302C">
        <w:rPr>
          <w:rFonts w:ascii="Arial Narrow" w:hAnsi="Arial Narrow"/>
        </w:rPr>
        <w:t>evalveerimist</w:t>
      </w:r>
      <w:proofErr w:type="spellEnd"/>
      <w:r w:rsidR="00C7302C">
        <w:rPr>
          <w:rFonts w:ascii="Arial Narrow" w:hAnsi="Arial Narrow"/>
        </w:rPr>
        <w:t xml:space="preserve"> Sihtasutus Eesti Teadusagentuur (edaspidi </w:t>
      </w:r>
      <w:proofErr w:type="spellStart"/>
      <w:r w:rsidR="00C7302C">
        <w:rPr>
          <w:rFonts w:ascii="Arial Narrow" w:hAnsi="Arial Narrow"/>
        </w:rPr>
        <w:t>ETAg</w:t>
      </w:r>
      <w:proofErr w:type="spellEnd"/>
      <w:r w:rsidR="00C7302C">
        <w:rPr>
          <w:rFonts w:ascii="Arial Narrow" w:hAnsi="Arial Narrow"/>
        </w:rPr>
        <w:t>).</w:t>
      </w:r>
    </w:p>
    <w:p w14:paraId="63FBE882" w14:textId="3E5EAAAB" w:rsidR="00A1359D" w:rsidRPr="00EE23D0" w:rsidRDefault="00D3227A" w:rsidP="001E67CD">
      <w:pPr>
        <w:pStyle w:val="Normaallaadveeb"/>
        <w:jc w:val="both"/>
        <w:rPr>
          <w:rFonts w:ascii="Arial Narrow" w:hAnsi="Arial Narrow"/>
        </w:rPr>
      </w:pPr>
      <w:r w:rsidRPr="00EE23D0">
        <w:rPr>
          <w:rFonts w:ascii="Arial Narrow" w:hAnsi="Arial Narrow"/>
          <w:sz w:val="22"/>
          <w:szCs w:val="22"/>
        </w:rPr>
        <w:t xml:space="preserve">Tulenevalt </w:t>
      </w:r>
      <w:proofErr w:type="spellStart"/>
      <w:r w:rsidRPr="00EE23D0">
        <w:rPr>
          <w:rFonts w:ascii="Arial Narrow" w:hAnsi="Arial Narrow"/>
          <w:sz w:val="22"/>
          <w:szCs w:val="22"/>
        </w:rPr>
        <w:t>TAKS-ist</w:t>
      </w:r>
      <w:proofErr w:type="spellEnd"/>
      <w:r w:rsidRPr="00EE23D0">
        <w:rPr>
          <w:rFonts w:ascii="Arial Narrow" w:hAnsi="Arial Narrow"/>
          <w:sz w:val="22"/>
          <w:szCs w:val="22"/>
        </w:rPr>
        <w:t xml:space="preserve"> kehtib </w:t>
      </w:r>
      <w:r w:rsidR="005A4AD7">
        <w:rPr>
          <w:rFonts w:ascii="Arial Narrow" w:hAnsi="Arial Narrow"/>
          <w:sz w:val="22"/>
          <w:szCs w:val="22"/>
        </w:rPr>
        <w:t xml:space="preserve">korralise </w:t>
      </w:r>
      <w:proofErr w:type="spellStart"/>
      <w:r w:rsidR="005A4AD7">
        <w:rPr>
          <w:rFonts w:ascii="Arial Narrow" w:hAnsi="Arial Narrow"/>
          <w:sz w:val="22"/>
          <w:szCs w:val="22"/>
        </w:rPr>
        <w:t>evalveerimise</w:t>
      </w:r>
      <w:proofErr w:type="spellEnd"/>
      <w:r w:rsidRPr="00EE23D0">
        <w:rPr>
          <w:rFonts w:ascii="Arial Narrow" w:hAnsi="Arial Narrow"/>
          <w:sz w:val="22"/>
          <w:szCs w:val="22"/>
        </w:rPr>
        <w:t xml:space="preserve"> positiivne tulemus seitse aastat. </w:t>
      </w:r>
      <w:r w:rsidRPr="00EE23D0">
        <w:rPr>
          <w:rFonts w:ascii="Arial Narrow" w:hAnsi="Arial Narrow"/>
          <w:bCs/>
          <w:sz w:val="22"/>
          <w:szCs w:val="22"/>
        </w:rPr>
        <w:t>K</w:t>
      </w:r>
      <w:r w:rsidR="005A4AD7">
        <w:rPr>
          <w:rFonts w:ascii="Arial Narrow" w:hAnsi="Arial Narrow"/>
          <w:bCs/>
          <w:sz w:val="22"/>
          <w:szCs w:val="22"/>
        </w:rPr>
        <w:t xml:space="preserve">orralise </w:t>
      </w:r>
      <w:proofErr w:type="spellStart"/>
      <w:r w:rsidR="005A4AD7">
        <w:rPr>
          <w:rFonts w:ascii="Arial Narrow" w:hAnsi="Arial Narrow"/>
          <w:bCs/>
          <w:sz w:val="22"/>
          <w:szCs w:val="22"/>
        </w:rPr>
        <w:t>evalveerimise</w:t>
      </w:r>
      <w:proofErr w:type="spellEnd"/>
      <w:r w:rsidRPr="00EE23D0">
        <w:rPr>
          <w:rFonts w:ascii="Arial Narrow" w:hAnsi="Arial Narrow"/>
          <w:bCs/>
          <w:sz w:val="22"/>
          <w:szCs w:val="22"/>
        </w:rPr>
        <w:t xml:space="preserve"> positiivne tulemus annab </w:t>
      </w:r>
      <w:r w:rsidR="00131B11">
        <w:rPr>
          <w:rFonts w:ascii="Arial Narrow" w:hAnsi="Arial Narrow"/>
          <w:bCs/>
          <w:sz w:val="22"/>
          <w:szCs w:val="22"/>
        </w:rPr>
        <w:t xml:space="preserve">teadus- ja arendusasutusele (edaspidi: asutus) </w:t>
      </w:r>
      <w:r w:rsidR="00A1359D" w:rsidRPr="00EE23D0">
        <w:rPr>
          <w:rFonts w:ascii="Arial Narrow" w:hAnsi="Arial Narrow"/>
          <w:sz w:val="22"/>
          <w:szCs w:val="22"/>
        </w:rPr>
        <w:t>õiguse taotleda</w:t>
      </w:r>
      <w:r w:rsidR="005A4AD7">
        <w:rPr>
          <w:rFonts w:ascii="Arial Narrow" w:hAnsi="Arial Narrow"/>
          <w:sz w:val="22"/>
          <w:szCs w:val="22"/>
        </w:rPr>
        <w:t xml:space="preserve"> </w:t>
      </w:r>
      <w:r w:rsidR="00131B11" w:rsidRPr="00EE23D0">
        <w:rPr>
          <w:rFonts w:ascii="Arial Narrow" w:hAnsi="Arial Narrow"/>
        </w:rPr>
        <w:t xml:space="preserve">oma </w:t>
      </w:r>
      <w:r w:rsidR="00891732">
        <w:rPr>
          <w:rFonts w:ascii="Arial Narrow" w:hAnsi="Arial Narrow"/>
        </w:rPr>
        <w:t>TA</w:t>
      </w:r>
      <w:r w:rsidR="00131B11" w:rsidRPr="00EE23D0">
        <w:rPr>
          <w:rFonts w:ascii="Arial Narrow" w:hAnsi="Arial Narrow"/>
        </w:rPr>
        <w:t xml:space="preserve"> finantseerimist riigieelarvest </w:t>
      </w:r>
      <w:r w:rsidR="00A1359D" w:rsidRPr="00EE23D0">
        <w:rPr>
          <w:rFonts w:ascii="Arial Narrow" w:hAnsi="Arial Narrow"/>
        </w:rPr>
        <w:t>teadus- ja arendustegevuse korralduse seaduses sätestatud alustel</w:t>
      </w:r>
      <w:r w:rsidR="005A4AD7">
        <w:rPr>
          <w:rFonts w:ascii="Arial Narrow" w:hAnsi="Arial Narrow"/>
        </w:rPr>
        <w:t xml:space="preserve"> ning </w:t>
      </w:r>
      <w:r w:rsidR="00A1359D" w:rsidRPr="00EE23D0">
        <w:rPr>
          <w:rFonts w:ascii="Arial Narrow" w:hAnsi="Arial Narrow"/>
        </w:rPr>
        <w:t>doktoriõppe läbiviimist õppe aluseks olevas valdkonnas ülikooliseaduses sätestatud alustel.</w:t>
      </w:r>
    </w:p>
    <w:p w14:paraId="1842CB8E" w14:textId="309CB153" w:rsidR="005A4AD7" w:rsidRDefault="00D3227A" w:rsidP="005A4AD7">
      <w:pPr>
        <w:jc w:val="both"/>
        <w:rPr>
          <w:rFonts w:ascii="Arial Narrow" w:hAnsi="Arial Narrow"/>
        </w:rPr>
      </w:pPr>
      <w:r w:rsidRPr="00EE23D0">
        <w:rPr>
          <w:rFonts w:ascii="Arial Narrow" w:hAnsi="Arial Narrow"/>
        </w:rPr>
        <w:t xml:space="preserve">Kuivõrd </w:t>
      </w:r>
      <w:r w:rsidR="00891732">
        <w:rPr>
          <w:rFonts w:ascii="Arial Narrow" w:hAnsi="Arial Narrow"/>
        </w:rPr>
        <w:t xml:space="preserve">korralise </w:t>
      </w:r>
      <w:proofErr w:type="spellStart"/>
      <w:r w:rsidR="00891732">
        <w:rPr>
          <w:rFonts w:ascii="Arial Narrow" w:hAnsi="Arial Narrow"/>
        </w:rPr>
        <w:t>evalveerimise</w:t>
      </w:r>
      <w:proofErr w:type="spellEnd"/>
      <w:r w:rsidRPr="00EE23D0">
        <w:rPr>
          <w:rFonts w:ascii="Arial Narrow" w:hAnsi="Arial Narrow"/>
        </w:rPr>
        <w:t xml:space="preserve"> positiivne tulemus on doktoriõppe läbiviimise õiguse aluseks, </w:t>
      </w:r>
      <w:r w:rsidR="00546D5D">
        <w:rPr>
          <w:rFonts w:ascii="Arial Narrow" w:hAnsi="Arial Narrow"/>
        </w:rPr>
        <w:t>toimub</w:t>
      </w:r>
      <w:r w:rsidRPr="00EE23D0">
        <w:rPr>
          <w:rFonts w:ascii="Arial Narrow" w:hAnsi="Arial Narrow"/>
        </w:rPr>
        <w:t xml:space="preserve"> </w:t>
      </w:r>
      <w:r w:rsidR="005A4AD7">
        <w:rPr>
          <w:rFonts w:ascii="Arial Narrow" w:hAnsi="Arial Narrow"/>
        </w:rPr>
        <w:t xml:space="preserve">korralise </w:t>
      </w:r>
      <w:proofErr w:type="spellStart"/>
      <w:r w:rsidR="005A4AD7">
        <w:rPr>
          <w:rFonts w:ascii="Arial Narrow" w:hAnsi="Arial Narrow"/>
        </w:rPr>
        <w:t>evalveerimise</w:t>
      </w:r>
      <w:proofErr w:type="spellEnd"/>
      <w:r w:rsidRPr="00EE23D0">
        <w:rPr>
          <w:rFonts w:ascii="Arial Narrow" w:hAnsi="Arial Narrow"/>
        </w:rPr>
        <w:t xml:space="preserve"> </w:t>
      </w:r>
      <w:r w:rsidR="00546D5D">
        <w:rPr>
          <w:rFonts w:ascii="Arial Narrow" w:hAnsi="Arial Narrow"/>
        </w:rPr>
        <w:t>2017. aasta voor</w:t>
      </w:r>
      <w:r w:rsidRPr="00EE23D0">
        <w:rPr>
          <w:rFonts w:ascii="Arial Narrow" w:hAnsi="Arial Narrow"/>
        </w:rPr>
        <w:t xml:space="preserve"> ajaliselt enne </w:t>
      </w:r>
      <w:r w:rsidR="005A4AD7">
        <w:rPr>
          <w:rFonts w:ascii="Arial Narrow" w:hAnsi="Arial Narrow"/>
        </w:rPr>
        <w:t xml:space="preserve">valdkonnaga seotud </w:t>
      </w:r>
      <w:r w:rsidRPr="00EE23D0">
        <w:rPr>
          <w:rFonts w:ascii="Arial Narrow" w:hAnsi="Arial Narrow"/>
        </w:rPr>
        <w:t>õppekavagrupi kvaliteedihindamist</w:t>
      </w:r>
      <w:r w:rsidR="005A4AD7">
        <w:rPr>
          <w:rFonts w:ascii="Arial Narrow" w:hAnsi="Arial Narrow"/>
        </w:rPr>
        <w:t xml:space="preserve"> doktoriõppe tasemel</w:t>
      </w:r>
      <w:r w:rsidRPr="00EE23D0">
        <w:rPr>
          <w:rFonts w:ascii="Arial Narrow" w:hAnsi="Arial Narrow"/>
        </w:rPr>
        <w:t xml:space="preserve">. </w:t>
      </w:r>
      <w:r w:rsidR="001661E6">
        <w:rPr>
          <w:rFonts w:ascii="Arial Narrow" w:hAnsi="Arial Narrow"/>
        </w:rPr>
        <w:t xml:space="preserve">Vastavalt </w:t>
      </w:r>
      <w:r w:rsidRPr="00EE23D0">
        <w:rPr>
          <w:rFonts w:ascii="Arial Narrow" w:hAnsi="Arial Narrow"/>
        </w:rPr>
        <w:t xml:space="preserve">Eesti </w:t>
      </w:r>
      <w:proofErr w:type="spellStart"/>
      <w:r w:rsidRPr="00EE23D0">
        <w:rPr>
          <w:rFonts w:ascii="Arial Narrow" w:hAnsi="Arial Narrow"/>
        </w:rPr>
        <w:t>Kõrg</w:t>
      </w:r>
      <w:proofErr w:type="spellEnd"/>
      <w:r w:rsidRPr="00EE23D0">
        <w:rPr>
          <w:rFonts w:ascii="Arial Narrow" w:hAnsi="Arial Narrow"/>
        </w:rPr>
        <w:t>- ja Kutsehar</w:t>
      </w:r>
      <w:r w:rsidR="00310294" w:rsidRPr="00EE23D0">
        <w:rPr>
          <w:rFonts w:ascii="Arial Narrow" w:hAnsi="Arial Narrow"/>
        </w:rPr>
        <w:t>iduse Kvaliteediagentuur</w:t>
      </w:r>
      <w:r w:rsidR="001661E6">
        <w:rPr>
          <w:rFonts w:ascii="Arial Narrow" w:hAnsi="Arial Narrow"/>
        </w:rPr>
        <w:t>i</w:t>
      </w:r>
      <w:r w:rsidR="00310294" w:rsidRPr="00EE23D0">
        <w:rPr>
          <w:rFonts w:ascii="Arial Narrow" w:hAnsi="Arial Narrow"/>
        </w:rPr>
        <w:t xml:space="preserve"> (EKKA)</w:t>
      </w:r>
      <w:r w:rsidR="001661E6">
        <w:rPr>
          <w:rFonts w:ascii="Arial Narrow" w:hAnsi="Arial Narrow"/>
        </w:rPr>
        <w:t xml:space="preserve"> poolt ülikoolidega kooskõlastatud ajakavale toimuvad </w:t>
      </w:r>
      <w:r w:rsidRPr="00EE23D0">
        <w:rPr>
          <w:rFonts w:ascii="Arial Narrow" w:hAnsi="Arial Narrow"/>
        </w:rPr>
        <w:t xml:space="preserve"> esimesed õppekavagruppide </w:t>
      </w:r>
      <w:r w:rsidR="001661E6">
        <w:rPr>
          <w:rFonts w:ascii="Arial Narrow" w:hAnsi="Arial Narrow"/>
        </w:rPr>
        <w:t>kvaliteedi</w:t>
      </w:r>
      <w:r w:rsidR="005370DE">
        <w:rPr>
          <w:rFonts w:ascii="Arial Narrow" w:hAnsi="Arial Narrow"/>
        </w:rPr>
        <w:t xml:space="preserve"> hindamised doktoriõppe tasemel</w:t>
      </w:r>
      <w:r w:rsidRPr="00EE23D0">
        <w:rPr>
          <w:rFonts w:ascii="Arial Narrow" w:hAnsi="Arial Narrow"/>
        </w:rPr>
        <w:t xml:space="preserve"> 2017. aasta sügise</w:t>
      </w:r>
      <w:r w:rsidR="001661E6">
        <w:rPr>
          <w:rFonts w:ascii="Arial Narrow" w:hAnsi="Arial Narrow"/>
        </w:rPr>
        <w:t>l</w:t>
      </w:r>
      <w:r w:rsidRPr="00EE23D0">
        <w:rPr>
          <w:rFonts w:ascii="Arial Narrow" w:hAnsi="Arial Narrow"/>
        </w:rPr>
        <w:t xml:space="preserve">, seega toimub </w:t>
      </w:r>
      <w:r w:rsidR="00B11316">
        <w:rPr>
          <w:rFonts w:ascii="Arial Narrow" w:hAnsi="Arial Narrow"/>
        </w:rPr>
        <w:t xml:space="preserve">korraline </w:t>
      </w:r>
      <w:proofErr w:type="spellStart"/>
      <w:r w:rsidR="00B11316">
        <w:rPr>
          <w:rFonts w:ascii="Arial Narrow" w:hAnsi="Arial Narrow"/>
        </w:rPr>
        <w:t>evalveerimine</w:t>
      </w:r>
      <w:proofErr w:type="spellEnd"/>
      <w:r w:rsidRPr="00EE23D0">
        <w:rPr>
          <w:rFonts w:ascii="Arial Narrow" w:hAnsi="Arial Narrow"/>
        </w:rPr>
        <w:t xml:space="preserve"> 2017. aasta kevadel. </w:t>
      </w:r>
      <w:r w:rsidRPr="00EE23D0">
        <w:rPr>
          <w:rFonts w:ascii="Arial Narrow" w:hAnsi="Arial Narrow"/>
          <w:i/>
        </w:rPr>
        <w:t xml:space="preserve"> </w:t>
      </w:r>
    </w:p>
    <w:p w14:paraId="4D005C9C" w14:textId="5587C839" w:rsidR="007D3B62" w:rsidRPr="005A4AD7" w:rsidRDefault="005404C4" w:rsidP="005A4AD7">
      <w:pPr>
        <w:jc w:val="both"/>
        <w:rPr>
          <w:rFonts w:ascii="Arial Narrow" w:hAnsi="Arial Narrow"/>
        </w:rPr>
      </w:pPr>
      <w:r w:rsidRPr="005A4AD7">
        <w:rPr>
          <w:rFonts w:ascii="Arial Narrow" w:hAnsi="Arial Narrow"/>
        </w:rPr>
        <w:t xml:space="preserve">Korraline </w:t>
      </w:r>
      <w:proofErr w:type="spellStart"/>
      <w:r w:rsidRPr="005A4AD7">
        <w:rPr>
          <w:rFonts w:ascii="Arial Narrow" w:hAnsi="Arial Narrow"/>
        </w:rPr>
        <w:t>evalveerimine</w:t>
      </w:r>
      <w:proofErr w:type="spellEnd"/>
      <w:r w:rsidR="007D3B62" w:rsidRPr="005A4AD7">
        <w:rPr>
          <w:rFonts w:ascii="Arial Narrow" w:hAnsi="Arial Narrow"/>
        </w:rPr>
        <w:t xml:space="preserve"> võimalda</w:t>
      </w:r>
      <w:r w:rsidR="00131B11" w:rsidRPr="005A4AD7">
        <w:rPr>
          <w:rFonts w:ascii="Arial Narrow" w:hAnsi="Arial Narrow"/>
        </w:rPr>
        <w:t>b</w:t>
      </w:r>
      <w:r w:rsidR="007D3B62" w:rsidRPr="005A4AD7">
        <w:rPr>
          <w:rFonts w:ascii="Arial Narrow" w:hAnsi="Arial Narrow"/>
        </w:rPr>
        <w:t>:</w:t>
      </w:r>
    </w:p>
    <w:p w14:paraId="62401117" w14:textId="41BCB71D" w:rsidR="005A4AD7" w:rsidRDefault="00D3227A" w:rsidP="005A4AD7">
      <w:pPr>
        <w:pStyle w:val="Loendilik"/>
        <w:numPr>
          <w:ilvl w:val="0"/>
          <w:numId w:val="29"/>
        </w:numPr>
        <w:jc w:val="both"/>
        <w:rPr>
          <w:rFonts w:ascii="Arial Narrow" w:hAnsi="Arial Narrow"/>
        </w:rPr>
      </w:pPr>
      <w:r w:rsidRPr="005A4AD7">
        <w:rPr>
          <w:rFonts w:ascii="Arial Narrow" w:hAnsi="Arial Narrow"/>
          <w:b/>
        </w:rPr>
        <w:t>hinnata</w:t>
      </w:r>
      <w:r w:rsidRPr="005A4AD7">
        <w:rPr>
          <w:rFonts w:ascii="Arial Narrow" w:hAnsi="Arial Narrow"/>
        </w:rPr>
        <w:t xml:space="preserve"> asutuse </w:t>
      </w:r>
      <w:r w:rsidR="00131B11" w:rsidRPr="005A4AD7">
        <w:rPr>
          <w:rFonts w:ascii="Arial Narrow" w:hAnsi="Arial Narrow"/>
        </w:rPr>
        <w:t>TA-</w:t>
      </w:r>
      <w:r w:rsidR="00891732">
        <w:rPr>
          <w:rFonts w:ascii="Arial Narrow" w:hAnsi="Arial Narrow"/>
        </w:rPr>
        <w:t>d</w:t>
      </w:r>
      <w:r w:rsidRPr="005A4AD7">
        <w:rPr>
          <w:rFonts w:ascii="Arial Narrow" w:hAnsi="Arial Narrow"/>
        </w:rPr>
        <w:t xml:space="preserve"> aspektides, mis näitavad, kas asutus suudab hinnatavas valdkonnas tagada TA-tegevuse </w:t>
      </w:r>
      <w:r w:rsidR="002A7F79" w:rsidRPr="005A4AD7">
        <w:rPr>
          <w:rFonts w:ascii="Arial Narrow" w:hAnsi="Arial Narrow"/>
        </w:rPr>
        <w:t xml:space="preserve">konkurentsivõimelise taseme rahvusvahelises võrdluses, </w:t>
      </w:r>
      <w:r w:rsidRPr="005A4AD7">
        <w:rPr>
          <w:rFonts w:ascii="Arial Narrow" w:hAnsi="Arial Narrow"/>
        </w:rPr>
        <w:t xml:space="preserve">jätkusuutlikkuse </w:t>
      </w:r>
      <w:r w:rsidR="002A7F79" w:rsidRPr="005A4AD7">
        <w:rPr>
          <w:rFonts w:ascii="Arial Narrow" w:hAnsi="Arial Narrow"/>
        </w:rPr>
        <w:t xml:space="preserve">(sh ülikoolides doktoriõppe läbiviimiseks) </w:t>
      </w:r>
      <w:r w:rsidRPr="005A4AD7">
        <w:rPr>
          <w:rFonts w:ascii="Arial Narrow" w:hAnsi="Arial Narrow"/>
        </w:rPr>
        <w:t>ja</w:t>
      </w:r>
      <w:r w:rsidR="002A7F79" w:rsidRPr="005A4AD7">
        <w:rPr>
          <w:rFonts w:ascii="Arial Narrow" w:hAnsi="Arial Narrow"/>
        </w:rPr>
        <w:t xml:space="preserve"> seostatuse ühiskondlike vajadustega</w:t>
      </w:r>
      <w:r w:rsidRPr="005A4AD7">
        <w:rPr>
          <w:rFonts w:ascii="Arial Narrow" w:hAnsi="Arial Narrow"/>
        </w:rPr>
        <w:t xml:space="preserve">; </w:t>
      </w:r>
    </w:p>
    <w:p w14:paraId="54D33262" w14:textId="79857118" w:rsidR="005A4AD7" w:rsidRPr="005A4AD7" w:rsidRDefault="00D3227A" w:rsidP="005A4AD7">
      <w:pPr>
        <w:pStyle w:val="Loendilik"/>
        <w:numPr>
          <w:ilvl w:val="0"/>
          <w:numId w:val="29"/>
        </w:numPr>
        <w:jc w:val="both"/>
        <w:rPr>
          <w:rFonts w:ascii="Arial Narrow" w:hAnsi="Arial Narrow"/>
        </w:rPr>
      </w:pPr>
      <w:r w:rsidRPr="005A4AD7">
        <w:rPr>
          <w:rFonts w:ascii="Arial Narrow" w:eastAsia="Times New Roman" w:hAnsi="Arial Narrow" w:cs="Arial"/>
          <w:b/>
          <w:lang w:eastAsia="et-EE"/>
        </w:rPr>
        <w:t>anda</w:t>
      </w:r>
      <w:r w:rsidRPr="005A4AD7">
        <w:rPr>
          <w:rFonts w:ascii="Arial Narrow" w:eastAsia="Times New Roman" w:hAnsi="Arial Narrow" w:cs="Arial"/>
          <w:lang w:eastAsia="et-EE"/>
        </w:rPr>
        <w:t xml:space="preserve"> </w:t>
      </w:r>
      <w:r w:rsidRPr="005A4AD7">
        <w:rPr>
          <w:rFonts w:ascii="Arial Narrow" w:eastAsia="Times New Roman" w:hAnsi="Arial Narrow" w:cs="Arial"/>
          <w:b/>
          <w:lang w:eastAsia="et-EE"/>
        </w:rPr>
        <w:t xml:space="preserve">teavet </w:t>
      </w:r>
      <w:r w:rsidRPr="005A4AD7">
        <w:rPr>
          <w:rFonts w:ascii="Arial Narrow" w:eastAsia="Times New Roman" w:hAnsi="Arial Narrow" w:cs="Arial"/>
          <w:lang w:eastAsia="et-EE"/>
        </w:rPr>
        <w:t>teadlaskonnale, asutuste juhtkondadele, TA-</w:t>
      </w:r>
      <w:r w:rsidR="00891732">
        <w:rPr>
          <w:rFonts w:ascii="Arial Narrow" w:eastAsia="Times New Roman" w:hAnsi="Arial Narrow" w:cs="Arial"/>
          <w:lang w:eastAsia="et-EE"/>
        </w:rPr>
        <w:t>d</w:t>
      </w:r>
      <w:r w:rsidRPr="005A4AD7">
        <w:rPr>
          <w:rFonts w:ascii="Arial Narrow" w:eastAsia="Times New Roman" w:hAnsi="Arial Narrow" w:cs="Arial"/>
          <w:lang w:eastAsia="et-EE"/>
        </w:rPr>
        <w:t xml:space="preserve"> rahastavatele organisatsioonidele, teadus- ja kõrghariduspoliitika kujundajatele ning ühiskonnale Eesti TA teadusliku taseme, jätkusuutlikkuse ja ühiskondliku mõju kohta;</w:t>
      </w:r>
    </w:p>
    <w:p w14:paraId="193C60C3" w14:textId="4540AEA5" w:rsidR="00D3227A" w:rsidRPr="005A4AD7" w:rsidRDefault="00D3227A" w:rsidP="005A4AD7">
      <w:pPr>
        <w:pStyle w:val="Loendilik"/>
        <w:numPr>
          <w:ilvl w:val="0"/>
          <w:numId w:val="29"/>
        </w:numPr>
        <w:jc w:val="both"/>
        <w:rPr>
          <w:rFonts w:ascii="Arial Narrow" w:hAnsi="Arial Narrow"/>
        </w:rPr>
      </w:pPr>
      <w:r w:rsidRPr="005A4AD7">
        <w:rPr>
          <w:rFonts w:ascii="Arial Narrow" w:eastAsia="Times New Roman" w:hAnsi="Arial Narrow" w:cs="Arial"/>
          <w:b/>
          <w:lang w:eastAsia="et-EE"/>
        </w:rPr>
        <w:t>anda sisendit</w:t>
      </w:r>
      <w:r w:rsidRPr="005A4AD7">
        <w:rPr>
          <w:rFonts w:ascii="Arial Narrow" w:eastAsia="Times New Roman" w:hAnsi="Arial Narrow" w:cs="Arial"/>
          <w:lang w:eastAsia="et-EE"/>
        </w:rPr>
        <w:t xml:space="preserve"> teaduspoliitiliste otsuste ja meetmete ettevalmistamisele, valdkondade edasisele arendamisele, asutuste arengusuundade fookustamisele ning vajalike muudatuste elluviimisele.</w:t>
      </w:r>
    </w:p>
    <w:p w14:paraId="4423F1C9" w14:textId="77777777" w:rsidR="00D4728F" w:rsidRPr="00EE23D0" w:rsidRDefault="00D4728F" w:rsidP="005A4AD7">
      <w:pPr>
        <w:pStyle w:val="Loendilik"/>
        <w:spacing w:line="259" w:lineRule="auto"/>
        <w:jc w:val="both"/>
        <w:rPr>
          <w:rFonts w:ascii="Arial Narrow" w:hAnsi="Arial Narrow"/>
        </w:rPr>
      </w:pPr>
    </w:p>
    <w:p w14:paraId="1B35E732" w14:textId="77777777" w:rsidR="005A4AD7" w:rsidRDefault="006C3B31" w:rsidP="005A4AD7">
      <w:pPr>
        <w:pStyle w:val="Loendilik"/>
        <w:numPr>
          <w:ilvl w:val="0"/>
          <w:numId w:val="28"/>
        </w:numPr>
        <w:jc w:val="both"/>
        <w:rPr>
          <w:rFonts w:ascii="Arial Narrow" w:hAnsi="Arial Narrow"/>
          <w:b/>
        </w:rPr>
      </w:pPr>
      <w:r w:rsidRPr="005A4AD7">
        <w:rPr>
          <w:rFonts w:ascii="Arial Narrow" w:hAnsi="Arial Narrow"/>
          <w:b/>
        </w:rPr>
        <w:t>Mõisted</w:t>
      </w:r>
    </w:p>
    <w:p w14:paraId="7D0EE8AA" w14:textId="77777777" w:rsidR="00C52632" w:rsidRDefault="00C52632" w:rsidP="00C52632">
      <w:pPr>
        <w:pStyle w:val="Loendilik"/>
        <w:jc w:val="both"/>
        <w:rPr>
          <w:rFonts w:ascii="Arial Narrow" w:hAnsi="Arial Narrow"/>
          <w:b/>
        </w:rPr>
      </w:pPr>
    </w:p>
    <w:p w14:paraId="7428CA8C" w14:textId="77777777" w:rsidR="002F198A" w:rsidRPr="002F198A" w:rsidRDefault="00044DE8" w:rsidP="002F198A">
      <w:pPr>
        <w:pStyle w:val="Loendilik"/>
        <w:numPr>
          <w:ilvl w:val="1"/>
          <w:numId w:val="28"/>
        </w:numPr>
        <w:jc w:val="both"/>
        <w:rPr>
          <w:rFonts w:ascii="Arial Narrow" w:hAnsi="Arial Narrow"/>
        </w:rPr>
      </w:pPr>
      <w:r w:rsidRPr="002F198A">
        <w:rPr>
          <w:rFonts w:ascii="Arial Narrow" w:hAnsi="Arial Narrow"/>
          <w:b/>
        </w:rPr>
        <w:lastRenderedPageBreak/>
        <w:t>E</w:t>
      </w:r>
      <w:r w:rsidR="00667163" w:rsidRPr="002F198A">
        <w:rPr>
          <w:rFonts w:ascii="Arial Narrow" w:hAnsi="Arial Narrow"/>
          <w:b/>
        </w:rPr>
        <w:t>neseanalüüsi aruanne</w:t>
      </w:r>
      <w:r w:rsidR="00404763" w:rsidRPr="002F198A">
        <w:rPr>
          <w:rFonts w:ascii="Arial Narrow" w:hAnsi="Arial Narrow"/>
        </w:rPr>
        <w:t xml:space="preserve"> </w:t>
      </w:r>
      <w:r w:rsidR="005A46D4" w:rsidRPr="002F198A">
        <w:rPr>
          <w:rFonts w:ascii="Arial Narrow" w:hAnsi="Arial Narrow"/>
        </w:rPr>
        <w:t xml:space="preserve">on </w:t>
      </w:r>
      <w:r w:rsidR="002A7F79" w:rsidRPr="002F198A">
        <w:rPr>
          <w:rFonts w:ascii="Arial Narrow" w:hAnsi="Arial Narrow"/>
        </w:rPr>
        <w:t xml:space="preserve">asutuse </w:t>
      </w:r>
      <w:r w:rsidR="00886387" w:rsidRPr="002F198A">
        <w:rPr>
          <w:rFonts w:ascii="Arial Narrow" w:hAnsi="Arial Narrow"/>
        </w:rPr>
        <w:t xml:space="preserve">poolt Eesti Teadusinfosüsteemis (ETIS) koostatav </w:t>
      </w:r>
      <w:r w:rsidR="002A7F79" w:rsidRPr="002F198A">
        <w:rPr>
          <w:rFonts w:ascii="Arial Narrow" w:hAnsi="Arial Narrow"/>
        </w:rPr>
        <w:t>aruanne</w:t>
      </w:r>
      <w:r w:rsidR="00886387" w:rsidRPr="002F198A">
        <w:rPr>
          <w:rFonts w:ascii="Arial Narrow" w:hAnsi="Arial Narrow"/>
        </w:rPr>
        <w:t xml:space="preserve"> </w:t>
      </w:r>
      <w:proofErr w:type="spellStart"/>
      <w:r w:rsidR="00886387" w:rsidRPr="002F198A">
        <w:rPr>
          <w:rFonts w:ascii="Arial Narrow" w:hAnsi="Arial Narrow"/>
        </w:rPr>
        <w:t>evalveeritava</w:t>
      </w:r>
      <w:proofErr w:type="spellEnd"/>
      <w:r w:rsidR="00886387" w:rsidRPr="002F198A">
        <w:rPr>
          <w:rFonts w:ascii="Arial Narrow" w:hAnsi="Arial Narrow"/>
        </w:rPr>
        <w:t xml:space="preserve"> valdkonna kohta. E</w:t>
      </w:r>
      <w:r w:rsidR="00667163" w:rsidRPr="002F198A">
        <w:rPr>
          <w:rFonts w:ascii="Arial Narrow" w:hAnsi="Arial Narrow"/>
        </w:rPr>
        <w:t>neseanalüüsi aruanne</w:t>
      </w:r>
      <w:r w:rsidR="00886387" w:rsidRPr="002F198A">
        <w:rPr>
          <w:rFonts w:ascii="Arial Narrow" w:hAnsi="Arial Narrow"/>
        </w:rPr>
        <w:t xml:space="preserve"> on koos asutuse külastusega hindamiskomisjonile aluseks </w:t>
      </w:r>
      <w:r w:rsidR="005A46D4" w:rsidRPr="002F198A">
        <w:rPr>
          <w:rFonts w:ascii="Arial Narrow" w:hAnsi="Arial Narrow"/>
        </w:rPr>
        <w:t xml:space="preserve">hinnangu andmisel ja </w:t>
      </w:r>
      <w:proofErr w:type="spellStart"/>
      <w:r w:rsidR="00886387" w:rsidRPr="002F198A">
        <w:rPr>
          <w:rFonts w:ascii="Arial Narrow" w:hAnsi="Arial Narrow"/>
        </w:rPr>
        <w:t>evalveerimisraporti</w:t>
      </w:r>
      <w:proofErr w:type="spellEnd"/>
      <w:r w:rsidR="00886387" w:rsidRPr="002F198A">
        <w:rPr>
          <w:rFonts w:ascii="Arial Narrow" w:hAnsi="Arial Narrow"/>
        </w:rPr>
        <w:t xml:space="preserve"> koostamisel.</w:t>
      </w:r>
    </w:p>
    <w:p w14:paraId="18DDE4BD" w14:textId="77777777" w:rsidR="002F198A" w:rsidRPr="002F198A" w:rsidRDefault="00044DE8" w:rsidP="002F198A">
      <w:pPr>
        <w:pStyle w:val="Loendilik"/>
        <w:numPr>
          <w:ilvl w:val="1"/>
          <w:numId w:val="28"/>
        </w:numPr>
        <w:jc w:val="both"/>
        <w:rPr>
          <w:rFonts w:ascii="Arial Narrow" w:hAnsi="Arial Narrow"/>
        </w:rPr>
      </w:pPr>
      <w:proofErr w:type="spellStart"/>
      <w:r w:rsidRPr="002F198A">
        <w:rPr>
          <w:rFonts w:ascii="Arial Narrow" w:hAnsi="Arial Narrow"/>
          <w:b/>
        </w:rPr>
        <w:t>Evalveerimisraport</w:t>
      </w:r>
      <w:proofErr w:type="spellEnd"/>
      <w:r w:rsidR="00404763" w:rsidRPr="002F198A">
        <w:rPr>
          <w:rFonts w:ascii="Arial Narrow" w:hAnsi="Arial Narrow"/>
          <w:b/>
        </w:rPr>
        <w:t xml:space="preserve"> </w:t>
      </w:r>
      <w:r w:rsidR="0083261E" w:rsidRPr="002F198A">
        <w:rPr>
          <w:rFonts w:ascii="Arial Narrow" w:hAnsi="Arial Narrow"/>
        </w:rPr>
        <w:t xml:space="preserve">on </w:t>
      </w:r>
      <w:r w:rsidR="005C0F41" w:rsidRPr="002F198A">
        <w:rPr>
          <w:rFonts w:ascii="Arial Narrow" w:hAnsi="Arial Narrow"/>
        </w:rPr>
        <w:t>h</w:t>
      </w:r>
      <w:r w:rsidR="00886387" w:rsidRPr="002F198A">
        <w:rPr>
          <w:rFonts w:ascii="Arial Narrow" w:hAnsi="Arial Narrow"/>
        </w:rPr>
        <w:t xml:space="preserve">indamiskomisjoni poolt </w:t>
      </w:r>
      <w:proofErr w:type="spellStart"/>
      <w:r w:rsidR="00886387" w:rsidRPr="002F198A">
        <w:rPr>
          <w:rFonts w:ascii="Arial Narrow" w:hAnsi="Arial Narrow"/>
        </w:rPr>
        <w:t>ETIS</w:t>
      </w:r>
      <w:r w:rsidR="00667163" w:rsidRPr="002F198A">
        <w:rPr>
          <w:rFonts w:ascii="Arial Narrow" w:hAnsi="Arial Narrow"/>
        </w:rPr>
        <w:t>-</w:t>
      </w:r>
      <w:r w:rsidR="00886387" w:rsidRPr="002F198A">
        <w:rPr>
          <w:rFonts w:ascii="Arial Narrow" w:hAnsi="Arial Narrow"/>
        </w:rPr>
        <w:t>es</w:t>
      </w:r>
      <w:proofErr w:type="spellEnd"/>
      <w:r w:rsidR="00886387" w:rsidRPr="002F198A">
        <w:rPr>
          <w:rFonts w:ascii="Arial Narrow" w:hAnsi="Arial Narrow"/>
        </w:rPr>
        <w:t xml:space="preserve"> </w:t>
      </w:r>
      <w:r w:rsidR="00667163" w:rsidRPr="002F198A">
        <w:rPr>
          <w:rFonts w:ascii="Arial Narrow" w:hAnsi="Arial Narrow"/>
        </w:rPr>
        <w:t xml:space="preserve">asutuse eneseanalüüsi aruande </w:t>
      </w:r>
      <w:r w:rsidR="00886387" w:rsidRPr="002F198A">
        <w:rPr>
          <w:rFonts w:ascii="Arial Narrow" w:hAnsi="Arial Narrow"/>
        </w:rPr>
        <w:t xml:space="preserve">ja asutuse külastuse alusel koostatav hinnang </w:t>
      </w:r>
      <w:proofErr w:type="spellStart"/>
      <w:r w:rsidR="00886387" w:rsidRPr="002F198A">
        <w:rPr>
          <w:rFonts w:ascii="Arial Narrow" w:hAnsi="Arial Narrow"/>
        </w:rPr>
        <w:t>eval</w:t>
      </w:r>
      <w:r w:rsidR="00667163" w:rsidRPr="002F198A">
        <w:rPr>
          <w:rFonts w:ascii="Arial Narrow" w:hAnsi="Arial Narrow"/>
        </w:rPr>
        <w:t>veeritava</w:t>
      </w:r>
      <w:proofErr w:type="spellEnd"/>
      <w:r w:rsidR="00667163" w:rsidRPr="002F198A">
        <w:rPr>
          <w:rFonts w:ascii="Arial Narrow" w:hAnsi="Arial Narrow"/>
        </w:rPr>
        <w:t xml:space="preserve"> valdkonna teadusliku taseme, jätkusuutlikkuse ja ühiskondliku mõju kohta</w:t>
      </w:r>
      <w:r w:rsidR="00886387" w:rsidRPr="002F198A">
        <w:rPr>
          <w:rFonts w:ascii="Arial Narrow" w:hAnsi="Arial Narrow"/>
        </w:rPr>
        <w:t xml:space="preserve">. </w:t>
      </w:r>
      <w:proofErr w:type="spellStart"/>
      <w:r w:rsidR="00886387" w:rsidRPr="002F198A">
        <w:rPr>
          <w:rFonts w:ascii="Arial Narrow" w:hAnsi="Arial Narrow"/>
        </w:rPr>
        <w:t>Evalveerimisraport</w:t>
      </w:r>
      <w:proofErr w:type="spellEnd"/>
      <w:r w:rsidR="00886387" w:rsidRPr="002F198A">
        <w:rPr>
          <w:rFonts w:ascii="Arial Narrow" w:hAnsi="Arial Narrow"/>
        </w:rPr>
        <w:t xml:space="preserve"> on aluseks haridus- ja teadusministrile </w:t>
      </w:r>
      <w:proofErr w:type="spellStart"/>
      <w:r w:rsidR="00886387" w:rsidRPr="002F198A">
        <w:rPr>
          <w:rFonts w:ascii="Arial Narrow" w:hAnsi="Arial Narrow"/>
        </w:rPr>
        <w:t>evalveerimisotsuse</w:t>
      </w:r>
      <w:proofErr w:type="spellEnd"/>
      <w:r w:rsidR="00886387" w:rsidRPr="002F198A">
        <w:rPr>
          <w:rFonts w:ascii="Arial Narrow" w:hAnsi="Arial Narrow"/>
        </w:rPr>
        <w:t xml:space="preserve"> tegemisel. </w:t>
      </w:r>
    </w:p>
    <w:p w14:paraId="0077973C" w14:textId="74B0BF9D" w:rsidR="002F198A" w:rsidRPr="002F198A" w:rsidRDefault="00A67765" w:rsidP="006D5BD1">
      <w:pPr>
        <w:pStyle w:val="Loendilik"/>
        <w:numPr>
          <w:ilvl w:val="1"/>
          <w:numId w:val="28"/>
        </w:numPr>
        <w:jc w:val="both"/>
        <w:rPr>
          <w:rFonts w:ascii="Arial Narrow" w:hAnsi="Arial Narrow"/>
        </w:rPr>
      </w:pPr>
      <w:r w:rsidRPr="002F198A">
        <w:rPr>
          <w:rFonts w:ascii="Arial Narrow" w:hAnsi="Arial Narrow"/>
          <w:b/>
        </w:rPr>
        <w:t>Hindamiskomisjon</w:t>
      </w:r>
      <w:r w:rsidRPr="002F198A">
        <w:rPr>
          <w:rFonts w:ascii="Arial Narrow" w:hAnsi="Arial Narrow"/>
        </w:rPr>
        <w:t xml:space="preserve"> on </w:t>
      </w:r>
      <w:r w:rsidR="00B11316" w:rsidRPr="002F198A">
        <w:rPr>
          <w:rFonts w:ascii="Arial Narrow" w:hAnsi="Arial Narrow" w:cs="Times New Roman"/>
        </w:rPr>
        <w:t xml:space="preserve">korralise </w:t>
      </w:r>
      <w:proofErr w:type="spellStart"/>
      <w:r w:rsidR="00B11316" w:rsidRPr="002F198A">
        <w:rPr>
          <w:rFonts w:ascii="Arial Narrow" w:hAnsi="Arial Narrow" w:cs="Times New Roman"/>
        </w:rPr>
        <w:t>evalveerimise</w:t>
      </w:r>
      <w:proofErr w:type="spellEnd"/>
      <w:r w:rsidRPr="002F198A">
        <w:rPr>
          <w:rFonts w:ascii="Arial Narrow" w:hAnsi="Arial Narrow" w:cs="Times New Roman"/>
        </w:rPr>
        <w:t xml:space="preserve"> läbiviimiseks haridus- ja teadusministri poolt moodustatud  3- kuni 16-liikmeline erinevate valdkondade </w:t>
      </w:r>
      <w:proofErr w:type="spellStart"/>
      <w:r w:rsidRPr="002F198A">
        <w:rPr>
          <w:rFonts w:ascii="Arial Narrow" w:hAnsi="Arial Narrow" w:cs="Times New Roman"/>
        </w:rPr>
        <w:t>välisekspertide</w:t>
      </w:r>
      <w:proofErr w:type="spellEnd"/>
      <w:r w:rsidRPr="002F198A">
        <w:rPr>
          <w:rFonts w:ascii="Arial Narrow" w:hAnsi="Arial Narrow" w:cs="Times New Roman"/>
        </w:rPr>
        <w:t xml:space="preserve"> kogu. </w:t>
      </w:r>
      <w:r w:rsidR="006D5BD1" w:rsidRPr="006D5BD1">
        <w:rPr>
          <w:rFonts w:ascii="Arial Narrow" w:hAnsi="Arial Narrow" w:cs="Times New Roman"/>
        </w:rPr>
        <w:t>Hindamiskomisjon võib otsuste tegemiseks vajaliku ekspertiisi jaoks moodustada ekspertkomisjone. Hindamiskomisjoni liikmed ning nende ülesanded ja töökorra kinnitab haridus- ja teadusminister käskkirjaga. Täiendavad eksperdid ning nende ülesanded ja töökorra kinnitab ETAgi juhatuse esimees käskkirjaga.</w:t>
      </w:r>
    </w:p>
    <w:p w14:paraId="20C39656" w14:textId="77777777" w:rsidR="002F198A" w:rsidRDefault="00DE600A" w:rsidP="002F198A">
      <w:pPr>
        <w:pStyle w:val="Loendilik"/>
        <w:numPr>
          <w:ilvl w:val="1"/>
          <w:numId w:val="28"/>
        </w:numPr>
        <w:jc w:val="both"/>
        <w:rPr>
          <w:rFonts w:ascii="Arial Narrow" w:hAnsi="Arial Narrow"/>
        </w:rPr>
      </w:pPr>
      <w:r w:rsidRPr="00F05CCA">
        <w:rPr>
          <w:rFonts w:ascii="Arial Narrow" w:hAnsi="Arial Narrow"/>
          <w:b/>
        </w:rPr>
        <w:t>T</w:t>
      </w:r>
      <w:r w:rsidR="00264DD6" w:rsidRPr="00F05CCA">
        <w:rPr>
          <w:rFonts w:ascii="Arial Narrow" w:hAnsi="Arial Narrow"/>
          <w:b/>
        </w:rPr>
        <w:t>eadus- ja arendus</w:t>
      </w:r>
      <w:r w:rsidRPr="00F05CCA">
        <w:rPr>
          <w:rFonts w:ascii="Arial Narrow" w:hAnsi="Arial Narrow"/>
          <w:b/>
        </w:rPr>
        <w:t>asutus</w:t>
      </w:r>
      <w:r w:rsidRPr="002F198A">
        <w:rPr>
          <w:rFonts w:ascii="Arial Narrow" w:hAnsi="Arial Narrow"/>
        </w:rPr>
        <w:t xml:space="preserve"> </w:t>
      </w:r>
      <w:r w:rsidR="005A46D4" w:rsidRPr="002F198A">
        <w:rPr>
          <w:rFonts w:ascii="Arial Narrow" w:hAnsi="Arial Narrow"/>
        </w:rPr>
        <w:t>(asutus) on</w:t>
      </w:r>
      <w:r w:rsidR="00667163" w:rsidRPr="002F198A">
        <w:rPr>
          <w:rFonts w:ascii="Arial Narrow" w:hAnsi="Arial Narrow"/>
        </w:rPr>
        <w:t xml:space="preserve"> </w:t>
      </w:r>
      <w:r w:rsidR="00910C3C" w:rsidRPr="002F198A">
        <w:rPr>
          <w:rFonts w:ascii="Arial Narrow" w:hAnsi="Arial Narrow"/>
        </w:rPr>
        <w:t xml:space="preserve">juriidiline isik või asutus, </w:t>
      </w:r>
      <w:r w:rsidR="002F198A">
        <w:rPr>
          <w:rFonts w:ascii="Arial Narrow" w:hAnsi="Arial Narrow"/>
        </w:rPr>
        <w:t>mille:</w:t>
      </w:r>
    </w:p>
    <w:p w14:paraId="4A96B466" w14:textId="77777777" w:rsidR="002F198A" w:rsidRDefault="00910C3C" w:rsidP="002F198A">
      <w:pPr>
        <w:pStyle w:val="Loendilik"/>
        <w:numPr>
          <w:ilvl w:val="0"/>
          <w:numId w:val="37"/>
        </w:numPr>
        <w:jc w:val="both"/>
        <w:rPr>
          <w:rFonts w:ascii="Arial Narrow" w:hAnsi="Arial Narrow"/>
        </w:rPr>
      </w:pPr>
      <w:r w:rsidRPr="002F198A">
        <w:rPr>
          <w:rFonts w:ascii="Arial Narrow" w:hAnsi="Arial Narrow"/>
        </w:rPr>
        <w:t>põhitegevus on alusuuringute, rakendusuuringute või arendustegevuse või mitme nimetatud tegevuse läbiviimine;</w:t>
      </w:r>
    </w:p>
    <w:p w14:paraId="7712680F" w14:textId="77777777" w:rsidR="002F198A" w:rsidRDefault="00910C3C" w:rsidP="002F198A">
      <w:pPr>
        <w:pStyle w:val="Loendilik"/>
        <w:numPr>
          <w:ilvl w:val="0"/>
          <w:numId w:val="37"/>
        </w:numPr>
        <w:jc w:val="both"/>
        <w:rPr>
          <w:rFonts w:ascii="Arial Narrow" w:hAnsi="Arial Narrow"/>
        </w:rPr>
      </w:pPr>
      <w:r w:rsidRPr="002F198A">
        <w:rPr>
          <w:rFonts w:ascii="Arial Narrow" w:hAnsi="Arial Narrow"/>
        </w:rPr>
        <w:t>põhitegevusega kaasnevaks tegevuseks on levitada teadmisi õpetamise, publitseerimi</w:t>
      </w:r>
      <w:r w:rsidR="002F198A">
        <w:rPr>
          <w:rFonts w:ascii="Arial Narrow" w:hAnsi="Arial Narrow"/>
        </w:rPr>
        <w:t>se või tehnoloogiasiirde kaudu;</w:t>
      </w:r>
    </w:p>
    <w:p w14:paraId="0F615A77" w14:textId="77777777" w:rsidR="002F198A" w:rsidRDefault="00910C3C" w:rsidP="002F198A">
      <w:pPr>
        <w:pStyle w:val="Loendilik"/>
        <w:numPr>
          <w:ilvl w:val="0"/>
          <w:numId w:val="37"/>
        </w:numPr>
        <w:jc w:val="both"/>
        <w:rPr>
          <w:rFonts w:ascii="Arial Narrow" w:hAnsi="Arial Narrow"/>
        </w:rPr>
      </w:pPr>
      <w:r w:rsidRPr="002F198A">
        <w:rPr>
          <w:rFonts w:ascii="Arial Narrow" w:hAnsi="Arial Narrow"/>
        </w:rPr>
        <w:t>liikmeskonda kuuluvad põhitegevuse läbiviim</w:t>
      </w:r>
      <w:r w:rsidR="002F198A">
        <w:rPr>
          <w:rFonts w:ascii="Arial Narrow" w:hAnsi="Arial Narrow"/>
        </w:rPr>
        <w:t>iseks vajalikud teadustöötajad;</w:t>
      </w:r>
    </w:p>
    <w:p w14:paraId="3D98BEA6" w14:textId="77777777" w:rsidR="002F198A" w:rsidRDefault="00910C3C" w:rsidP="002F198A">
      <w:pPr>
        <w:pStyle w:val="Loendilik"/>
        <w:numPr>
          <w:ilvl w:val="0"/>
          <w:numId w:val="37"/>
        </w:numPr>
        <w:jc w:val="both"/>
        <w:rPr>
          <w:rFonts w:ascii="Arial Narrow" w:hAnsi="Arial Narrow"/>
        </w:rPr>
      </w:pPr>
      <w:r w:rsidRPr="002F198A">
        <w:rPr>
          <w:rFonts w:ascii="Arial Narrow" w:hAnsi="Arial Narrow"/>
        </w:rPr>
        <w:t>hooned, ruumid, sisustus ja muu vara on piisavad ning sobi</w:t>
      </w:r>
      <w:r w:rsidR="002F198A">
        <w:rPr>
          <w:rFonts w:ascii="Arial Narrow" w:hAnsi="Arial Narrow"/>
        </w:rPr>
        <w:t>vad põhitegevuse läbiviimiseks;</w:t>
      </w:r>
    </w:p>
    <w:p w14:paraId="32EB204E" w14:textId="77777777" w:rsidR="002F198A" w:rsidRDefault="00910C3C" w:rsidP="002F198A">
      <w:pPr>
        <w:pStyle w:val="Loendilik"/>
        <w:numPr>
          <w:ilvl w:val="0"/>
          <w:numId w:val="37"/>
        </w:numPr>
        <w:jc w:val="both"/>
        <w:rPr>
          <w:rFonts w:ascii="Arial Narrow" w:hAnsi="Arial Narrow"/>
        </w:rPr>
      </w:pPr>
      <w:r w:rsidRPr="002F198A">
        <w:rPr>
          <w:rFonts w:ascii="Arial Narrow" w:hAnsi="Arial Narrow"/>
        </w:rPr>
        <w:t>riigieelarvelistest vahenditest finantseeritud põhitegevuse tulemused, millega ei kaasne intel</w:t>
      </w:r>
      <w:r w:rsidR="00A428F1" w:rsidRPr="002F198A">
        <w:rPr>
          <w:rFonts w:ascii="Arial Narrow" w:hAnsi="Arial Narrow"/>
        </w:rPr>
        <w:softHyphen/>
      </w:r>
      <w:r w:rsidRPr="002F198A">
        <w:rPr>
          <w:rFonts w:ascii="Arial Narrow" w:hAnsi="Arial Narrow"/>
        </w:rPr>
        <w:t>lektuaal</w:t>
      </w:r>
      <w:r w:rsidR="002F198A">
        <w:rPr>
          <w:rFonts w:ascii="Arial Narrow" w:hAnsi="Arial Narrow"/>
        </w:rPr>
        <w:t>omandiõigused, on avalik teave;</w:t>
      </w:r>
    </w:p>
    <w:p w14:paraId="39140200" w14:textId="77777777" w:rsidR="002F198A" w:rsidRDefault="00910C3C" w:rsidP="002F198A">
      <w:pPr>
        <w:pStyle w:val="Loendilik"/>
        <w:numPr>
          <w:ilvl w:val="0"/>
          <w:numId w:val="37"/>
        </w:numPr>
        <w:jc w:val="both"/>
        <w:rPr>
          <w:rFonts w:ascii="Arial Narrow" w:hAnsi="Arial Narrow"/>
        </w:rPr>
      </w:pPr>
      <w:r w:rsidRPr="002F198A">
        <w:rPr>
          <w:rFonts w:ascii="Arial Narrow" w:hAnsi="Arial Narrow"/>
        </w:rPr>
        <w:t>punktides 1 ja 2 nimetatud tegevuste tulemustest, sealhulgas intellektuaal</w:t>
      </w:r>
      <w:r w:rsidR="00A428F1" w:rsidRPr="002F198A">
        <w:rPr>
          <w:rFonts w:ascii="Arial Narrow" w:hAnsi="Arial Narrow"/>
        </w:rPr>
        <w:softHyphen/>
      </w:r>
      <w:r w:rsidRPr="002F198A">
        <w:rPr>
          <w:rFonts w:ascii="Arial Narrow" w:hAnsi="Arial Narrow"/>
        </w:rPr>
        <w:t>omandi</w:t>
      </w:r>
      <w:r w:rsidR="00A428F1" w:rsidRPr="002F198A">
        <w:rPr>
          <w:rFonts w:ascii="Arial Narrow" w:hAnsi="Arial Narrow"/>
        </w:rPr>
        <w:softHyphen/>
      </w:r>
      <w:r w:rsidRPr="002F198A">
        <w:rPr>
          <w:rFonts w:ascii="Arial Narrow" w:hAnsi="Arial Narrow"/>
        </w:rPr>
        <w:t>õigustest saadud kasum, investeeritakse teadus- ja arendustegevusse, selle tulemu</w:t>
      </w:r>
      <w:r w:rsidR="002F198A">
        <w:rPr>
          <w:rFonts w:ascii="Arial Narrow" w:hAnsi="Arial Narrow"/>
        </w:rPr>
        <w:t>ste levitamisse või õpetamisse;</w:t>
      </w:r>
    </w:p>
    <w:p w14:paraId="535C9F19" w14:textId="4F9D8AC6" w:rsidR="005A4AD7" w:rsidRPr="002F198A" w:rsidRDefault="00910C3C" w:rsidP="002F198A">
      <w:pPr>
        <w:pStyle w:val="Loendilik"/>
        <w:numPr>
          <w:ilvl w:val="0"/>
          <w:numId w:val="37"/>
        </w:numPr>
        <w:jc w:val="both"/>
        <w:rPr>
          <w:rFonts w:ascii="Arial Narrow" w:hAnsi="Arial Narrow"/>
        </w:rPr>
      </w:pPr>
      <w:r w:rsidRPr="002F198A">
        <w:rPr>
          <w:rFonts w:ascii="Arial Narrow" w:hAnsi="Arial Narrow"/>
        </w:rPr>
        <w:t>majandustegevus (toodete ja teenuste pakkumine teataval turul) ja punkti</w:t>
      </w:r>
      <w:r w:rsidR="00A428F1" w:rsidRPr="002F198A">
        <w:rPr>
          <w:rFonts w:ascii="Arial Narrow" w:hAnsi="Arial Narrow"/>
        </w:rPr>
        <w:softHyphen/>
      </w:r>
      <w:r w:rsidRPr="002F198A">
        <w:rPr>
          <w:rFonts w:ascii="Arial Narrow" w:hAnsi="Arial Narrow"/>
        </w:rPr>
        <w:t>des 1 ja 2 nimetatud tegevused, mis vastavad punktide 5 ja 6 nõuetele (mittemajanduslik tege</w:t>
      </w:r>
      <w:r w:rsidR="00A428F1" w:rsidRPr="002F198A">
        <w:rPr>
          <w:rFonts w:ascii="Arial Narrow" w:hAnsi="Arial Narrow"/>
        </w:rPr>
        <w:softHyphen/>
      </w:r>
      <w:r w:rsidRPr="002F198A">
        <w:rPr>
          <w:rFonts w:ascii="Arial Narrow" w:hAnsi="Arial Narrow"/>
        </w:rPr>
        <w:t>vus), nende kulud ja rahastamine on teadus- ja arendusasutuse raamatupidamises selgelt eris</w:t>
      </w:r>
      <w:r w:rsidR="00A428F1" w:rsidRPr="002F198A">
        <w:rPr>
          <w:rFonts w:ascii="Arial Narrow" w:hAnsi="Arial Narrow"/>
        </w:rPr>
        <w:softHyphen/>
      </w:r>
      <w:r w:rsidRPr="002F198A">
        <w:rPr>
          <w:rFonts w:ascii="Arial Narrow" w:hAnsi="Arial Narrow"/>
        </w:rPr>
        <w:t>tatud</w:t>
      </w:r>
      <w:r w:rsidR="00D4728F" w:rsidRPr="002F198A">
        <w:rPr>
          <w:rFonts w:ascii="Arial Narrow" w:hAnsi="Arial Narrow"/>
        </w:rPr>
        <w:t>.</w:t>
      </w:r>
      <w:r w:rsidRPr="002F198A">
        <w:rPr>
          <w:rFonts w:ascii="Arial Narrow" w:hAnsi="Arial Narrow"/>
        </w:rPr>
        <w:t xml:space="preserve"> (TAKS </w:t>
      </w:r>
      <w:r w:rsidRPr="002F198A">
        <w:rPr>
          <w:rFonts w:ascii="Arial Narrow" w:eastAsia="Times New Roman" w:hAnsi="Arial Narrow" w:cs="Times New Roman"/>
          <w:bCs/>
          <w:lang w:eastAsia="et-EE"/>
        </w:rPr>
        <w:t>§</w:t>
      </w:r>
      <w:r w:rsidR="00D4728F" w:rsidRPr="002F198A">
        <w:rPr>
          <w:rFonts w:ascii="Arial Narrow" w:eastAsia="Times New Roman" w:hAnsi="Arial Narrow" w:cs="Times New Roman"/>
          <w:bCs/>
          <w:lang w:eastAsia="et-EE"/>
        </w:rPr>
        <w:t xml:space="preserve"> </w:t>
      </w:r>
      <w:r w:rsidRPr="002F198A">
        <w:rPr>
          <w:rFonts w:ascii="Arial Narrow" w:eastAsia="Times New Roman" w:hAnsi="Arial Narrow" w:cs="Times New Roman"/>
          <w:bCs/>
          <w:lang w:eastAsia="et-EE"/>
        </w:rPr>
        <w:t>3</w:t>
      </w:r>
      <w:r w:rsidR="00D4728F" w:rsidRPr="002F198A">
        <w:rPr>
          <w:rFonts w:ascii="Arial Narrow" w:eastAsia="Times New Roman" w:hAnsi="Arial Narrow" w:cs="Times New Roman"/>
          <w:bCs/>
          <w:lang w:eastAsia="et-EE"/>
        </w:rPr>
        <w:t xml:space="preserve"> lg 1)</w:t>
      </w:r>
    </w:p>
    <w:p w14:paraId="0760EA39" w14:textId="77777777" w:rsidR="002F198A" w:rsidRPr="002F198A" w:rsidRDefault="0083261E" w:rsidP="002F198A">
      <w:pPr>
        <w:pStyle w:val="Loendilik"/>
        <w:numPr>
          <w:ilvl w:val="1"/>
          <w:numId w:val="28"/>
        </w:numPr>
        <w:rPr>
          <w:rFonts w:ascii="Arial Narrow" w:hAnsi="Arial Narrow"/>
        </w:rPr>
      </w:pPr>
      <w:r w:rsidRPr="002F198A">
        <w:rPr>
          <w:rFonts w:ascii="Arial Narrow" w:hAnsi="Arial Narrow"/>
          <w:b/>
        </w:rPr>
        <w:t>Teadus</w:t>
      </w:r>
      <w:r w:rsidR="004D3E49" w:rsidRPr="002F198A">
        <w:rPr>
          <w:rFonts w:ascii="Arial Narrow" w:hAnsi="Arial Narrow"/>
          <w:b/>
        </w:rPr>
        <w:t>- ja arendustegevus:</w:t>
      </w:r>
    </w:p>
    <w:p w14:paraId="76E2F158" w14:textId="77777777" w:rsidR="002F198A" w:rsidRPr="002F198A" w:rsidRDefault="004D3E49" w:rsidP="002F198A">
      <w:pPr>
        <w:pStyle w:val="Loendilik"/>
        <w:numPr>
          <w:ilvl w:val="0"/>
          <w:numId w:val="36"/>
        </w:numPr>
        <w:rPr>
          <w:rFonts w:ascii="Arial Narrow" w:hAnsi="Arial Narrow"/>
        </w:rPr>
      </w:pPr>
      <w:r w:rsidRPr="002F198A">
        <w:rPr>
          <w:rFonts w:ascii="Arial Narrow" w:hAnsi="Arial Narrow"/>
        </w:rPr>
        <w:t xml:space="preserve">Arendustegevus on uuringute ja kogemuste kaudu saadud teadmiste rakendamine uute materjalide, toodete ja seadmete tootmiseks, protsesside, süsteemide ja teenuste juurutamiseks või nende oluliseks täiustamiseks (TAKS </w:t>
      </w:r>
      <w:r w:rsidRPr="002F198A">
        <w:rPr>
          <w:rFonts w:ascii="Arial Narrow" w:eastAsia="Times New Roman" w:hAnsi="Arial Narrow" w:cs="Times New Roman"/>
          <w:bCs/>
          <w:lang w:eastAsia="et-EE"/>
        </w:rPr>
        <w:t>§</w:t>
      </w:r>
      <w:r w:rsidR="00D4728F" w:rsidRPr="002F198A">
        <w:rPr>
          <w:rFonts w:ascii="Arial Narrow" w:eastAsia="Times New Roman" w:hAnsi="Arial Narrow" w:cs="Times New Roman"/>
          <w:bCs/>
          <w:lang w:eastAsia="et-EE"/>
        </w:rPr>
        <w:t xml:space="preserve"> </w:t>
      </w:r>
      <w:r w:rsidRPr="002F198A">
        <w:rPr>
          <w:rFonts w:ascii="Arial Narrow" w:eastAsia="Times New Roman" w:hAnsi="Arial Narrow" w:cs="Times New Roman"/>
          <w:bCs/>
          <w:lang w:eastAsia="et-EE"/>
        </w:rPr>
        <w:t>2</w:t>
      </w:r>
      <w:r w:rsidR="00D4728F" w:rsidRPr="002F198A">
        <w:rPr>
          <w:rFonts w:ascii="Arial Narrow" w:eastAsia="Times New Roman" w:hAnsi="Arial Narrow" w:cs="Times New Roman"/>
          <w:bCs/>
          <w:lang w:eastAsia="et-EE"/>
        </w:rPr>
        <w:t xml:space="preserve"> p 2) </w:t>
      </w:r>
    </w:p>
    <w:p w14:paraId="00D2D3D9" w14:textId="7B51C1D1" w:rsidR="0083261E" w:rsidRPr="002F198A" w:rsidRDefault="004D3E49" w:rsidP="002F198A">
      <w:pPr>
        <w:pStyle w:val="Loendilik"/>
        <w:numPr>
          <w:ilvl w:val="0"/>
          <w:numId w:val="36"/>
        </w:numPr>
        <w:rPr>
          <w:rFonts w:ascii="Arial Narrow" w:hAnsi="Arial Narrow"/>
        </w:rPr>
      </w:pPr>
      <w:r w:rsidRPr="002F198A">
        <w:rPr>
          <w:rFonts w:ascii="Arial Narrow" w:hAnsi="Arial Narrow"/>
          <w:b/>
        </w:rPr>
        <w:t>Teadus</w:t>
      </w:r>
      <w:r w:rsidR="0083261E" w:rsidRPr="002F198A">
        <w:rPr>
          <w:rFonts w:ascii="Arial Narrow" w:hAnsi="Arial Narrow"/>
          <w:b/>
        </w:rPr>
        <w:t>tegevus</w:t>
      </w:r>
      <w:r w:rsidR="0083261E" w:rsidRPr="002F198A">
        <w:rPr>
          <w:rFonts w:ascii="Arial Narrow" w:hAnsi="Arial Narrow"/>
        </w:rPr>
        <w:t xml:space="preserve"> on isiku loomevabadusel põhinev tegevus, mille eesmärk on teaduslike uuringute abil uute teadmiste saamine inimese, looduse ja ühiskonna ning nende vastastikuse toime kohta (TAKS </w:t>
      </w:r>
      <w:r w:rsidR="0083261E" w:rsidRPr="002F198A">
        <w:rPr>
          <w:rFonts w:ascii="Arial Narrow" w:eastAsia="Times New Roman" w:hAnsi="Arial Narrow" w:cs="Times New Roman"/>
          <w:bCs/>
          <w:lang w:eastAsia="et-EE"/>
        </w:rPr>
        <w:t>§</w:t>
      </w:r>
      <w:r w:rsidR="00D4728F" w:rsidRPr="002F198A">
        <w:rPr>
          <w:rFonts w:ascii="Arial Narrow" w:eastAsia="Times New Roman" w:hAnsi="Arial Narrow" w:cs="Times New Roman"/>
          <w:bCs/>
          <w:lang w:eastAsia="et-EE"/>
        </w:rPr>
        <w:t xml:space="preserve"> </w:t>
      </w:r>
      <w:r w:rsidR="0083261E" w:rsidRPr="002F198A">
        <w:rPr>
          <w:rFonts w:ascii="Arial Narrow" w:eastAsia="Times New Roman" w:hAnsi="Arial Narrow" w:cs="Times New Roman"/>
          <w:bCs/>
          <w:lang w:eastAsia="et-EE"/>
        </w:rPr>
        <w:t>2</w:t>
      </w:r>
      <w:r w:rsidR="00D4728F" w:rsidRPr="002F198A">
        <w:rPr>
          <w:rFonts w:ascii="Arial Narrow" w:eastAsia="Times New Roman" w:hAnsi="Arial Narrow" w:cs="Times New Roman"/>
          <w:bCs/>
          <w:lang w:eastAsia="et-EE"/>
        </w:rPr>
        <w:t xml:space="preserve"> p 7) </w:t>
      </w:r>
      <w:r w:rsidR="0083261E" w:rsidRPr="002F198A">
        <w:rPr>
          <w:rFonts w:ascii="Arial Narrow" w:hAnsi="Arial Narrow"/>
        </w:rPr>
        <w:t>;</w:t>
      </w:r>
    </w:p>
    <w:p w14:paraId="05711A09" w14:textId="4C631911" w:rsidR="00910C3C" w:rsidRPr="002F198A" w:rsidRDefault="00855D07" w:rsidP="002F198A">
      <w:pPr>
        <w:pStyle w:val="Loendilik"/>
        <w:numPr>
          <w:ilvl w:val="1"/>
          <w:numId w:val="28"/>
        </w:numPr>
        <w:jc w:val="both"/>
        <w:rPr>
          <w:rFonts w:ascii="Arial Narrow" w:hAnsi="Arial Narrow"/>
        </w:rPr>
      </w:pPr>
      <w:r w:rsidRPr="002F198A">
        <w:rPr>
          <w:rFonts w:ascii="Arial Narrow" w:hAnsi="Arial Narrow"/>
          <w:b/>
        </w:rPr>
        <w:t>Ülikool</w:t>
      </w:r>
      <w:r w:rsidR="00910C3C" w:rsidRPr="002F198A">
        <w:rPr>
          <w:rFonts w:ascii="Arial Narrow" w:hAnsi="Arial Narrow"/>
        </w:rPr>
        <w:t xml:space="preserve"> </w:t>
      </w:r>
      <w:r w:rsidR="005A46D4" w:rsidRPr="002F198A">
        <w:rPr>
          <w:rFonts w:ascii="Arial Narrow" w:hAnsi="Arial Narrow"/>
        </w:rPr>
        <w:t>–</w:t>
      </w:r>
      <w:r w:rsidR="00910C3C" w:rsidRPr="002F198A">
        <w:rPr>
          <w:rFonts w:ascii="Arial Narrow" w:hAnsi="Arial Narrow"/>
        </w:rPr>
        <w:t xml:space="preserve"> </w:t>
      </w:r>
      <w:r w:rsidR="00264DD6" w:rsidRPr="002F198A">
        <w:rPr>
          <w:rFonts w:ascii="Arial Narrow" w:hAnsi="Arial Narrow"/>
        </w:rPr>
        <w:t>s</w:t>
      </w:r>
      <w:r w:rsidR="00910C3C" w:rsidRPr="002F198A">
        <w:rPr>
          <w:rFonts w:ascii="Arial Narrow" w:hAnsi="Arial Narrow"/>
        </w:rPr>
        <w:t>õna «ülikool» või selle sõna võõrkeelset vastet võib</w:t>
      </w:r>
      <w:r w:rsidR="00231351" w:rsidRPr="002F198A">
        <w:rPr>
          <w:rFonts w:ascii="Arial Narrow" w:hAnsi="Arial Narrow"/>
        </w:rPr>
        <w:t xml:space="preserve"> ülikooliseaduse </w:t>
      </w:r>
      <w:r w:rsidR="00EA17B8" w:rsidRPr="002F198A">
        <w:rPr>
          <w:rFonts w:ascii="Arial Narrow" w:hAnsi="Arial Narrow"/>
        </w:rPr>
        <w:t>§ 4 lg 4 kohaselt</w:t>
      </w:r>
      <w:r w:rsidR="00910C3C" w:rsidRPr="002F198A">
        <w:rPr>
          <w:rFonts w:ascii="Arial Narrow" w:hAnsi="Arial Narrow"/>
        </w:rPr>
        <w:t xml:space="preserve"> oma nimes kasutada </w:t>
      </w:r>
      <w:r w:rsidR="00073B41" w:rsidRPr="002F198A">
        <w:rPr>
          <w:rFonts w:ascii="Arial Narrow" w:hAnsi="Arial Narrow"/>
        </w:rPr>
        <w:t>teadus- ja arendusasutus,</w:t>
      </w:r>
      <w:r w:rsidR="00910C3C" w:rsidRPr="002F198A">
        <w:rPr>
          <w:rFonts w:ascii="Arial Narrow" w:hAnsi="Arial Narrow"/>
        </w:rPr>
        <w:t xml:space="preserve"> kus on positiivselt </w:t>
      </w:r>
      <w:proofErr w:type="spellStart"/>
      <w:r w:rsidR="00910C3C" w:rsidRPr="002F198A">
        <w:rPr>
          <w:rFonts w:ascii="Arial Narrow" w:hAnsi="Arial Narrow"/>
        </w:rPr>
        <w:t>evalveeritud</w:t>
      </w:r>
      <w:proofErr w:type="spellEnd"/>
      <w:r w:rsidR="00910C3C" w:rsidRPr="002F198A">
        <w:rPr>
          <w:rFonts w:ascii="Arial Narrow" w:hAnsi="Arial Narrow"/>
        </w:rPr>
        <w:t xml:space="preserve"> teadus- ja arendustegevus mitmes teadusvaldkonnas ning toimub õppetegevus mitmes õppevaldkonnas kõigil kõrgharidustaseme astmetel.</w:t>
      </w:r>
      <w:r w:rsidR="00C83896" w:rsidRPr="0083261E">
        <w:rPr>
          <w:rStyle w:val="Allmrkuseviide"/>
          <w:rFonts w:ascii="Arial Narrow" w:hAnsi="Arial Narrow"/>
        </w:rPr>
        <w:footnoteReference w:id="1"/>
      </w:r>
    </w:p>
    <w:p w14:paraId="1F9859C1" w14:textId="77777777" w:rsidR="00855D07" w:rsidRPr="00EE23D0" w:rsidRDefault="00855D07" w:rsidP="00A428F1">
      <w:pPr>
        <w:jc w:val="both"/>
        <w:rPr>
          <w:rFonts w:ascii="Arial Narrow" w:hAnsi="Arial Narrow"/>
          <w:b/>
        </w:rPr>
      </w:pPr>
    </w:p>
    <w:p w14:paraId="780C6C97" w14:textId="308BB3F1" w:rsidR="003A7410" w:rsidRPr="005A4AD7" w:rsidRDefault="007D4214" w:rsidP="005A4AD7">
      <w:pPr>
        <w:pStyle w:val="Loendilik"/>
        <w:numPr>
          <w:ilvl w:val="0"/>
          <w:numId w:val="28"/>
        </w:numPr>
        <w:jc w:val="both"/>
        <w:rPr>
          <w:rFonts w:ascii="Arial Narrow" w:hAnsi="Arial Narrow"/>
          <w:b/>
        </w:rPr>
      </w:pPr>
      <w:r w:rsidRPr="005A4AD7">
        <w:rPr>
          <w:rFonts w:ascii="Arial Narrow" w:hAnsi="Arial Narrow"/>
          <w:b/>
        </w:rPr>
        <w:t>Hinnatavad teadusvaldkonnad</w:t>
      </w:r>
    </w:p>
    <w:p w14:paraId="66A8E674" w14:textId="502FAFE0" w:rsidR="00F72D5D" w:rsidRPr="00EE23D0" w:rsidRDefault="00F72D5D" w:rsidP="003A42CD">
      <w:pPr>
        <w:jc w:val="both"/>
        <w:rPr>
          <w:rFonts w:ascii="Arial Narrow" w:hAnsi="Arial Narrow"/>
        </w:rPr>
      </w:pPr>
      <w:r w:rsidRPr="00EE23D0">
        <w:rPr>
          <w:rFonts w:ascii="Arial Narrow" w:hAnsi="Arial Narrow"/>
        </w:rPr>
        <w:t xml:space="preserve">Korralisel </w:t>
      </w:r>
      <w:proofErr w:type="spellStart"/>
      <w:r w:rsidRPr="00EE23D0">
        <w:rPr>
          <w:rFonts w:ascii="Arial Narrow" w:hAnsi="Arial Narrow"/>
        </w:rPr>
        <w:t>evalveerimisel</w:t>
      </w:r>
      <w:proofErr w:type="spellEnd"/>
      <w:r w:rsidRPr="00EE23D0">
        <w:rPr>
          <w:rFonts w:ascii="Arial Narrow" w:hAnsi="Arial Narrow"/>
        </w:rPr>
        <w:t xml:space="preserve"> on TA</w:t>
      </w:r>
      <w:r w:rsidR="00EA17B8">
        <w:rPr>
          <w:rFonts w:ascii="Arial Narrow" w:hAnsi="Arial Narrow"/>
        </w:rPr>
        <w:t xml:space="preserve"> </w:t>
      </w:r>
      <w:r w:rsidRPr="00EE23D0">
        <w:rPr>
          <w:rFonts w:ascii="Arial Narrow" w:hAnsi="Arial Narrow"/>
        </w:rPr>
        <w:t xml:space="preserve">valdkonnad määratletud </w:t>
      </w:r>
      <w:r w:rsidR="00794B3E" w:rsidRPr="00EE23D0">
        <w:rPr>
          <w:rFonts w:ascii="Arial Narrow" w:hAnsi="Arial Narrow"/>
        </w:rPr>
        <w:t xml:space="preserve">OECD </w:t>
      </w:r>
      <w:proofErr w:type="spellStart"/>
      <w:r w:rsidR="00794B3E" w:rsidRPr="00EE23D0">
        <w:rPr>
          <w:rFonts w:ascii="Arial Narrow" w:hAnsi="Arial Narrow"/>
        </w:rPr>
        <w:t>Frascati</w:t>
      </w:r>
      <w:proofErr w:type="spellEnd"/>
      <w:r w:rsidR="00794B3E" w:rsidRPr="00EE23D0">
        <w:rPr>
          <w:rFonts w:ascii="Arial Narrow" w:hAnsi="Arial Narrow"/>
        </w:rPr>
        <w:t xml:space="preserve"> käsiraamatu (</w:t>
      </w:r>
      <w:proofErr w:type="spellStart"/>
      <w:r w:rsidR="00794B3E" w:rsidRPr="00EE23D0">
        <w:rPr>
          <w:rFonts w:ascii="Arial Narrow" w:hAnsi="Arial Narrow"/>
          <w:i/>
        </w:rPr>
        <w:t>Frascati</w:t>
      </w:r>
      <w:proofErr w:type="spellEnd"/>
      <w:r w:rsidR="00794B3E" w:rsidRPr="00EE23D0">
        <w:rPr>
          <w:rFonts w:ascii="Arial Narrow" w:hAnsi="Arial Narrow"/>
          <w:i/>
        </w:rPr>
        <w:t xml:space="preserve"> </w:t>
      </w:r>
      <w:proofErr w:type="spellStart"/>
      <w:r w:rsidR="00794B3E" w:rsidRPr="00EE23D0">
        <w:rPr>
          <w:rFonts w:ascii="Arial Narrow" w:hAnsi="Arial Narrow"/>
          <w:i/>
        </w:rPr>
        <w:t>Manual</w:t>
      </w:r>
      <w:proofErr w:type="spellEnd"/>
      <w:r w:rsidR="00794B3E" w:rsidRPr="00EE23D0">
        <w:rPr>
          <w:rFonts w:ascii="Arial Narrow" w:hAnsi="Arial Narrow"/>
        </w:rPr>
        <w:t>) 2015. aasta versiooni järgi</w:t>
      </w:r>
      <w:r w:rsidR="003A42CD" w:rsidRPr="00EE23D0">
        <w:rPr>
          <w:rFonts w:ascii="Arial Narrow" w:hAnsi="Arial Narrow"/>
        </w:rPr>
        <w:t xml:space="preserve"> ning </w:t>
      </w:r>
      <w:proofErr w:type="spellStart"/>
      <w:r w:rsidR="003A42CD" w:rsidRPr="00EE23D0">
        <w:rPr>
          <w:rFonts w:ascii="Arial Narrow" w:hAnsi="Arial Narrow"/>
        </w:rPr>
        <w:t>evalveerimine</w:t>
      </w:r>
      <w:proofErr w:type="spellEnd"/>
      <w:r w:rsidR="003A42CD" w:rsidRPr="00EE23D0">
        <w:rPr>
          <w:rFonts w:ascii="Arial Narrow" w:hAnsi="Arial Narrow"/>
        </w:rPr>
        <w:t xml:space="preserve"> viiakse läbi kuues TA valdkonnas</w:t>
      </w:r>
      <w:r w:rsidR="00D4728F">
        <w:rPr>
          <w:rFonts w:ascii="Arial Narrow" w:hAnsi="Arial Narrow"/>
        </w:rPr>
        <w:t>:</w:t>
      </w:r>
      <w:r w:rsidR="003A42CD" w:rsidRPr="00EE23D0">
        <w:rPr>
          <w:rFonts w:ascii="Arial Narrow" w:hAnsi="Arial Narrow"/>
        </w:rPr>
        <w:t xml:space="preserve"> 1. </w:t>
      </w:r>
      <w:r w:rsidR="00D4728F">
        <w:rPr>
          <w:rFonts w:ascii="Arial Narrow" w:hAnsi="Arial Narrow"/>
        </w:rPr>
        <w:t>l</w:t>
      </w:r>
      <w:r w:rsidR="003A42CD" w:rsidRPr="00EE23D0">
        <w:rPr>
          <w:rFonts w:ascii="Arial Narrow" w:hAnsi="Arial Narrow"/>
        </w:rPr>
        <w:t xml:space="preserve">oodusteadused, 2. </w:t>
      </w:r>
      <w:r w:rsidR="00D4728F">
        <w:rPr>
          <w:rFonts w:ascii="Arial Narrow" w:hAnsi="Arial Narrow"/>
        </w:rPr>
        <w:t>t</w:t>
      </w:r>
      <w:r w:rsidR="003A42CD" w:rsidRPr="00EE23D0">
        <w:rPr>
          <w:rFonts w:ascii="Arial Narrow" w:hAnsi="Arial Narrow"/>
        </w:rPr>
        <w:t xml:space="preserve">ehnika ja tehnoloogia; 3. </w:t>
      </w:r>
      <w:r w:rsidR="00D4728F">
        <w:rPr>
          <w:rFonts w:ascii="Arial Narrow" w:hAnsi="Arial Narrow"/>
        </w:rPr>
        <w:t>a</w:t>
      </w:r>
      <w:r w:rsidR="003A42CD" w:rsidRPr="00EE23D0">
        <w:rPr>
          <w:rFonts w:ascii="Arial Narrow" w:hAnsi="Arial Narrow"/>
        </w:rPr>
        <w:t xml:space="preserve">rsti- ja terviseteadused; 4. </w:t>
      </w:r>
      <w:r w:rsidR="00D4728F">
        <w:rPr>
          <w:rFonts w:ascii="Arial Narrow" w:hAnsi="Arial Narrow"/>
        </w:rPr>
        <w:t>p</w:t>
      </w:r>
      <w:r w:rsidR="003A42CD" w:rsidRPr="00EE23D0">
        <w:rPr>
          <w:rFonts w:ascii="Arial Narrow" w:hAnsi="Arial Narrow"/>
        </w:rPr>
        <w:t xml:space="preserve">õllumajandusteadused ja veterinaaria; 5. </w:t>
      </w:r>
      <w:r w:rsidR="00D4728F">
        <w:rPr>
          <w:rFonts w:ascii="Arial Narrow" w:hAnsi="Arial Narrow"/>
        </w:rPr>
        <w:t>s</w:t>
      </w:r>
      <w:r w:rsidR="003A42CD" w:rsidRPr="00EE23D0">
        <w:rPr>
          <w:rFonts w:ascii="Arial Narrow" w:hAnsi="Arial Narrow"/>
        </w:rPr>
        <w:t xml:space="preserve">otsiaalteadused; 6. </w:t>
      </w:r>
      <w:r w:rsidR="00DD27F3">
        <w:rPr>
          <w:rFonts w:ascii="Arial Narrow" w:hAnsi="Arial Narrow"/>
        </w:rPr>
        <w:t>h</w:t>
      </w:r>
      <w:r w:rsidR="003A42CD" w:rsidRPr="00EE23D0">
        <w:rPr>
          <w:rFonts w:ascii="Arial Narrow" w:hAnsi="Arial Narrow"/>
        </w:rPr>
        <w:t>umanitaarteadused ja kunstid.</w:t>
      </w:r>
      <w:r w:rsidR="00950DFC" w:rsidRPr="00EE23D0">
        <w:rPr>
          <w:rStyle w:val="Allmrkuseviide"/>
          <w:rFonts w:ascii="Arial Narrow" w:hAnsi="Arial Narrow"/>
        </w:rPr>
        <w:footnoteReference w:id="2"/>
      </w:r>
      <w:r w:rsidRPr="00EE23D0">
        <w:rPr>
          <w:rFonts w:ascii="Arial Narrow" w:hAnsi="Arial Narrow"/>
        </w:rPr>
        <w:t xml:space="preserve"> </w:t>
      </w:r>
      <w:r w:rsidRPr="002A7F79">
        <w:rPr>
          <w:rFonts w:ascii="Arial Narrow" w:hAnsi="Arial Narrow"/>
        </w:rPr>
        <w:t>Ülikool</w:t>
      </w:r>
      <w:r w:rsidR="000E7B90">
        <w:rPr>
          <w:rFonts w:ascii="Arial Narrow" w:hAnsi="Arial Narrow"/>
        </w:rPr>
        <w:t>ide TA</w:t>
      </w:r>
      <w:r w:rsidR="00F05CCA">
        <w:rPr>
          <w:rFonts w:ascii="Arial Narrow" w:hAnsi="Arial Narrow"/>
        </w:rPr>
        <w:t xml:space="preserve"> </w:t>
      </w:r>
      <w:proofErr w:type="spellStart"/>
      <w:r w:rsidR="000E7B90">
        <w:rPr>
          <w:rFonts w:ascii="Arial Narrow" w:hAnsi="Arial Narrow"/>
        </w:rPr>
        <w:t>evalveerimiseks</w:t>
      </w:r>
      <w:proofErr w:type="spellEnd"/>
      <w:r w:rsidR="000E7B90">
        <w:rPr>
          <w:rFonts w:ascii="Arial Narrow" w:hAnsi="Arial Narrow"/>
        </w:rPr>
        <w:t xml:space="preserve"> </w:t>
      </w:r>
      <w:r w:rsidRPr="002A7F79">
        <w:rPr>
          <w:rFonts w:ascii="Arial Narrow" w:hAnsi="Arial Narrow"/>
        </w:rPr>
        <w:t xml:space="preserve">on </w:t>
      </w:r>
      <w:r w:rsidR="000E7B90" w:rsidRPr="002A7F79">
        <w:rPr>
          <w:rFonts w:ascii="Arial Narrow" w:hAnsi="Arial Narrow"/>
        </w:rPr>
        <w:t>doktoriõppekavad</w:t>
      </w:r>
      <w:r w:rsidR="000E7B90">
        <w:rPr>
          <w:rFonts w:ascii="Arial Narrow" w:hAnsi="Arial Narrow"/>
        </w:rPr>
        <w:t xml:space="preserve"> seostatud </w:t>
      </w:r>
      <w:r w:rsidRPr="002A7F79">
        <w:rPr>
          <w:rFonts w:ascii="Arial Narrow" w:hAnsi="Arial Narrow"/>
        </w:rPr>
        <w:t>TA</w:t>
      </w:r>
      <w:r w:rsidR="00F05CCA">
        <w:rPr>
          <w:rFonts w:ascii="Arial Narrow" w:hAnsi="Arial Narrow"/>
        </w:rPr>
        <w:t xml:space="preserve"> </w:t>
      </w:r>
      <w:r w:rsidRPr="002A7F79">
        <w:rPr>
          <w:rFonts w:ascii="Arial Narrow" w:hAnsi="Arial Narrow"/>
        </w:rPr>
        <w:t>valdkon</w:t>
      </w:r>
      <w:r w:rsidR="000E7B90">
        <w:rPr>
          <w:rFonts w:ascii="Arial Narrow" w:hAnsi="Arial Narrow"/>
        </w:rPr>
        <w:t>dadega</w:t>
      </w:r>
      <w:r w:rsidRPr="002A7F79">
        <w:rPr>
          <w:rFonts w:ascii="Arial Narrow" w:hAnsi="Arial Narrow"/>
        </w:rPr>
        <w:t xml:space="preserve"> </w:t>
      </w:r>
      <w:r w:rsidR="000E7B90" w:rsidRPr="002A7F79">
        <w:rPr>
          <w:rFonts w:ascii="Arial Narrow" w:hAnsi="Arial Narrow"/>
        </w:rPr>
        <w:t xml:space="preserve">(vt seosetabel </w:t>
      </w:r>
      <w:hyperlink r:id="rId11" w:history="1">
        <w:r w:rsidR="0068119E" w:rsidRPr="0068119E">
          <w:rPr>
            <w:rStyle w:val="Hperlink"/>
            <w:rFonts w:ascii="Arial Narrow" w:hAnsi="Arial Narrow"/>
          </w:rPr>
          <w:t>lisas 1</w:t>
        </w:r>
      </w:hyperlink>
      <w:r w:rsidR="000E7B90" w:rsidRPr="002A7F79">
        <w:rPr>
          <w:rFonts w:ascii="Arial Narrow" w:hAnsi="Arial Narrow"/>
        </w:rPr>
        <w:t>)</w:t>
      </w:r>
      <w:r w:rsidR="000E7B90">
        <w:rPr>
          <w:rFonts w:ascii="Arial Narrow" w:hAnsi="Arial Narrow"/>
        </w:rPr>
        <w:t>.</w:t>
      </w:r>
      <w:r w:rsidRPr="002A7F79">
        <w:rPr>
          <w:rFonts w:ascii="Arial Narrow" w:hAnsi="Arial Narrow"/>
        </w:rPr>
        <w:t xml:space="preserve"> </w:t>
      </w:r>
    </w:p>
    <w:p w14:paraId="5DDAA5E4" w14:textId="77777777" w:rsidR="003C51EB" w:rsidRPr="00EE23D0" w:rsidRDefault="003C51EB" w:rsidP="00A428F1">
      <w:pPr>
        <w:jc w:val="both"/>
        <w:rPr>
          <w:rFonts w:ascii="Arial Narrow" w:hAnsi="Arial Narrow"/>
          <w:b/>
        </w:rPr>
      </w:pPr>
    </w:p>
    <w:p w14:paraId="68B27E9B" w14:textId="5B987730" w:rsidR="003A7410" w:rsidRPr="00EC5781" w:rsidRDefault="003A7410" w:rsidP="00EC5781">
      <w:pPr>
        <w:pStyle w:val="Loendilik"/>
        <w:numPr>
          <w:ilvl w:val="0"/>
          <w:numId w:val="28"/>
        </w:numPr>
        <w:jc w:val="both"/>
        <w:rPr>
          <w:rFonts w:ascii="Arial Narrow" w:hAnsi="Arial Narrow"/>
          <w:b/>
        </w:rPr>
      </w:pPr>
      <w:r w:rsidRPr="00EC5781">
        <w:rPr>
          <w:rFonts w:ascii="Arial Narrow" w:hAnsi="Arial Narrow"/>
          <w:b/>
        </w:rPr>
        <w:lastRenderedPageBreak/>
        <w:t xml:space="preserve">Korralise </w:t>
      </w:r>
      <w:proofErr w:type="spellStart"/>
      <w:r w:rsidRPr="00EC5781">
        <w:rPr>
          <w:rFonts w:ascii="Arial Narrow" w:hAnsi="Arial Narrow"/>
          <w:b/>
        </w:rPr>
        <w:t>evalveerimise</w:t>
      </w:r>
      <w:proofErr w:type="spellEnd"/>
      <w:r w:rsidRPr="00EC5781">
        <w:rPr>
          <w:rFonts w:ascii="Arial Narrow" w:hAnsi="Arial Narrow"/>
          <w:b/>
        </w:rPr>
        <w:t xml:space="preserve"> korraldus</w:t>
      </w:r>
    </w:p>
    <w:p w14:paraId="1CAD3A20" w14:textId="232DC03B" w:rsidR="007C28C9" w:rsidRDefault="007C28C9" w:rsidP="00F05CCA">
      <w:pPr>
        <w:jc w:val="both"/>
        <w:rPr>
          <w:rFonts w:ascii="Arial Narrow" w:hAnsi="Arial Narrow"/>
        </w:rPr>
      </w:pPr>
      <w:r>
        <w:rPr>
          <w:rFonts w:ascii="Arial Narrow" w:hAnsi="Arial Narrow"/>
        </w:rPr>
        <w:t xml:space="preserve">4.1. </w:t>
      </w:r>
      <w:r w:rsidR="00D4728F" w:rsidRPr="00EC5781">
        <w:rPr>
          <w:rFonts w:ascii="Arial Narrow" w:hAnsi="Arial Narrow"/>
        </w:rPr>
        <w:t xml:space="preserve">Korraliseks </w:t>
      </w:r>
      <w:proofErr w:type="spellStart"/>
      <w:r w:rsidR="00D4728F" w:rsidRPr="00EC5781">
        <w:rPr>
          <w:rFonts w:ascii="Arial Narrow" w:hAnsi="Arial Narrow"/>
        </w:rPr>
        <w:t>evalveerimiseks</w:t>
      </w:r>
      <w:proofErr w:type="spellEnd"/>
      <w:r w:rsidR="00D4728F" w:rsidRPr="00EC5781">
        <w:rPr>
          <w:rFonts w:ascii="Arial Narrow" w:hAnsi="Arial Narrow"/>
        </w:rPr>
        <w:t xml:space="preserve"> kvalifitseeruvad asutused, mis vastavad </w:t>
      </w:r>
      <w:r w:rsidR="00C7302C" w:rsidRPr="00EC5781">
        <w:rPr>
          <w:rFonts w:ascii="Arial Narrow" w:hAnsi="Arial Narrow"/>
        </w:rPr>
        <w:t xml:space="preserve">punktis </w:t>
      </w:r>
      <w:r w:rsidR="002F198A">
        <w:rPr>
          <w:rFonts w:ascii="Arial Narrow" w:hAnsi="Arial Narrow"/>
        </w:rPr>
        <w:t>2</w:t>
      </w:r>
      <w:r w:rsidR="00C7302C" w:rsidRPr="00EC5781">
        <w:rPr>
          <w:rFonts w:ascii="Arial Narrow" w:hAnsi="Arial Narrow"/>
        </w:rPr>
        <w:t>.4. kirjeldatud ting</w:t>
      </w:r>
      <w:r w:rsidR="00D4728F" w:rsidRPr="00EC5781">
        <w:rPr>
          <w:rFonts w:ascii="Arial Narrow" w:hAnsi="Arial Narrow"/>
        </w:rPr>
        <w:t>imustele.</w:t>
      </w:r>
      <w:r w:rsidR="00EC5781" w:rsidRPr="00EC5781">
        <w:rPr>
          <w:rFonts w:ascii="Arial Narrow" w:hAnsi="Arial Narrow"/>
        </w:rPr>
        <w:t xml:space="preserve"> </w:t>
      </w:r>
    </w:p>
    <w:p w14:paraId="64D9804D" w14:textId="2D3461EA" w:rsidR="0085373D" w:rsidRPr="00EC5781" w:rsidRDefault="007C28C9" w:rsidP="00F05CCA">
      <w:pPr>
        <w:jc w:val="both"/>
        <w:rPr>
          <w:rFonts w:ascii="Arial Narrow" w:hAnsi="Arial Narrow"/>
        </w:rPr>
      </w:pPr>
      <w:r>
        <w:rPr>
          <w:rFonts w:ascii="Arial Narrow" w:hAnsi="Arial Narrow"/>
        </w:rPr>
        <w:t xml:space="preserve">4.2. </w:t>
      </w:r>
      <w:r w:rsidR="0085373D" w:rsidRPr="00EC5781">
        <w:rPr>
          <w:rFonts w:ascii="Arial Narrow" w:hAnsi="Arial Narrow"/>
        </w:rPr>
        <w:t>Korra</w:t>
      </w:r>
      <w:r w:rsidR="005A46D4" w:rsidRPr="00EC5781">
        <w:rPr>
          <w:rFonts w:ascii="Arial Narrow" w:hAnsi="Arial Narrow"/>
        </w:rPr>
        <w:t xml:space="preserve">list </w:t>
      </w:r>
      <w:proofErr w:type="spellStart"/>
      <w:r w:rsidR="005A46D4" w:rsidRPr="00EC5781">
        <w:rPr>
          <w:rFonts w:ascii="Arial Narrow" w:hAnsi="Arial Narrow"/>
        </w:rPr>
        <w:t>evalveerimist</w:t>
      </w:r>
      <w:proofErr w:type="spellEnd"/>
      <w:r w:rsidR="005A46D4" w:rsidRPr="00EC5781">
        <w:rPr>
          <w:rFonts w:ascii="Arial Narrow" w:hAnsi="Arial Narrow"/>
        </w:rPr>
        <w:t xml:space="preserve"> taotlevad </w:t>
      </w:r>
      <w:r w:rsidR="0085373D" w:rsidRPr="00EC5781">
        <w:rPr>
          <w:rFonts w:ascii="Arial Narrow" w:hAnsi="Arial Narrow"/>
        </w:rPr>
        <w:t xml:space="preserve">asutused esitavad </w:t>
      </w:r>
      <w:proofErr w:type="spellStart"/>
      <w:r w:rsidR="0085373D" w:rsidRPr="00EC5781">
        <w:rPr>
          <w:rFonts w:ascii="Arial Narrow" w:hAnsi="Arial Narrow"/>
        </w:rPr>
        <w:t>ETAg</w:t>
      </w:r>
      <w:r w:rsidR="005A46D4" w:rsidRPr="00EC5781">
        <w:rPr>
          <w:rFonts w:ascii="Arial Narrow" w:hAnsi="Arial Narrow"/>
        </w:rPr>
        <w:t>-</w:t>
      </w:r>
      <w:r w:rsidR="0085373D" w:rsidRPr="00EC5781">
        <w:rPr>
          <w:rFonts w:ascii="Arial Narrow" w:hAnsi="Arial Narrow"/>
        </w:rPr>
        <w:t>ile</w:t>
      </w:r>
      <w:proofErr w:type="spellEnd"/>
      <w:r w:rsidR="0085373D" w:rsidRPr="00EC5781">
        <w:rPr>
          <w:rFonts w:ascii="Arial Narrow" w:hAnsi="Arial Narrow"/>
        </w:rPr>
        <w:t xml:space="preserve"> </w:t>
      </w:r>
      <w:r w:rsidR="006C1551" w:rsidRPr="00EC5781">
        <w:rPr>
          <w:rFonts w:ascii="Arial Narrow" w:hAnsi="Arial Narrow"/>
        </w:rPr>
        <w:t xml:space="preserve">vormikohase </w:t>
      </w:r>
      <w:r w:rsidR="0085373D" w:rsidRPr="00EC5781">
        <w:rPr>
          <w:rFonts w:ascii="Arial Narrow" w:hAnsi="Arial Narrow"/>
        </w:rPr>
        <w:t xml:space="preserve">taotluse </w:t>
      </w:r>
      <w:r w:rsidR="00B11316">
        <w:rPr>
          <w:rFonts w:ascii="Arial Narrow" w:hAnsi="Arial Narrow"/>
        </w:rPr>
        <w:t xml:space="preserve">korralise </w:t>
      </w:r>
      <w:proofErr w:type="spellStart"/>
      <w:r w:rsidR="00B11316">
        <w:rPr>
          <w:rFonts w:ascii="Arial Narrow" w:hAnsi="Arial Narrow"/>
        </w:rPr>
        <w:t>evalveerimise</w:t>
      </w:r>
      <w:proofErr w:type="spellEnd"/>
      <w:r w:rsidR="00B11316">
        <w:rPr>
          <w:rFonts w:ascii="Arial Narrow" w:hAnsi="Arial Narrow"/>
        </w:rPr>
        <w:t xml:space="preserve"> läbimiseks</w:t>
      </w:r>
      <w:r w:rsidR="0085373D" w:rsidRPr="00EC5781">
        <w:rPr>
          <w:rFonts w:ascii="Arial Narrow" w:hAnsi="Arial Narrow"/>
        </w:rPr>
        <w:t xml:space="preserve"> hiljemalt </w:t>
      </w:r>
      <w:proofErr w:type="spellStart"/>
      <w:r w:rsidR="00C94F35" w:rsidRPr="00EC5781">
        <w:rPr>
          <w:rFonts w:ascii="Arial Narrow" w:hAnsi="Arial Narrow"/>
        </w:rPr>
        <w:t>evalveerimisele</w:t>
      </w:r>
      <w:proofErr w:type="spellEnd"/>
      <w:r w:rsidR="00C94F35" w:rsidRPr="00EC5781">
        <w:rPr>
          <w:rFonts w:ascii="Arial Narrow" w:hAnsi="Arial Narrow"/>
        </w:rPr>
        <w:t xml:space="preserve"> eelneva kalendriaasta 15. novembriks</w:t>
      </w:r>
      <w:r w:rsidR="0085373D" w:rsidRPr="00EC5781">
        <w:rPr>
          <w:rFonts w:ascii="Arial Narrow" w:hAnsi="Arial Narrow"/>
        </w:rPr>
        <w:t xml:space="preserve">. Taotluses tuuakse välja, millistes valdkondades soovib asutus </w:t>
      </w:r>
      <w:r w:rsidR="00B11316">
        <w:rPr>
          <w:rFonts w:ascii="Arial Narrow" w:hAnsi="Arial Narrow"/>
        </w:rPr>
        <w:t xml:space="preserve">korralist </w:t>
      </w:r>
      <w:proofErr w:type="spellStart"/>
      <w:r w:rsidR="00B11316">
        <w:rPr>
          <w:rFonts w:ascii="Arial Narrow" w:hAnsi="Arial Narrow"/>
        </w:rPr>
        <w:t>evalveerimist</w:t>
      </w:r>
      <w:proofErr w:type="spellEnd"/>
      <w:r w:rsidR="0085373D" w:rsidRPr="00EC5781">
        <w:rPr>
          <w:rFonts w:ascii="Arial Narrow" w:hAnsi="Arial Narrow"/>
        </w:rPr>
        <w:t xml:space="preserve"> läbida. Taotluses seotakse valdkondadega asutuse struktuuriüksused</w:t>
      </w:r>
      <w:r w:rsidR="001264E8" w:rsidRPr="00EC5781">
        <w:rPr>
          <w:rStyle w:val="Allmrkuseviide"/>
          <w:rFonts w:ascii="Arial Narrow" w:hAnsi="Arial Narrow"/>
        </w:rPr>
        <w:footnoteReference w:id="3"/>
      </w:r>
      <w:r w:rsidR="0085373D" w:rsidRPr="00EC5781">
        <w:rPr>
          <w:rFonts w:ascii="Arial Narrow" w:hAnsi="Arial Narrow"/>
        </w:rPr>
        <w:t xml:space="preserve"> ning ülikoolide puhul ka doktoriõppekavad</w:t>
      </w:r>
      <w:r w:rsidR="004D3E49" w:rsidRPr="00EC5781">
        <w:rPr>
          <w:rFonts w:ascii="Arial Narrow" w:hAnsi="Arial Narrow"/>
        </w:rPr>
        <w:t xml:space="preserve">. </w:t>
      </w:r>
      <w:r w:rsidR="0085373D" w:rsidRPr="00EC5781">
        <w:rPr>
          <w:rFonts w:ascii="Arial Narrow" w:hAnsi="Arial Narrow"/>
        </w:rPr>
        <w:t xml:space="preserve">Taotluse vormi </w:t>
      </w:r>
      <w:r w:rsidR="006C1551" w:rsidRPr="00EC5781">
        <w:rPr>
          <w:rFonts w:ascii="Arial Narrow" w:hAnsi="Arial Narrow"/>
        </w:rPr>
        <w:t xml:space="preserve">teeb </w:t>
      </w:r>
      <w:proofErr w:type="spellStart"/>
      <w:r w:rsidR="0085373D" w:rsidRPr="00EC5781">
        <w:rPr>
          <w:rFonts w:ascii="Arial Narrow" w:hAnsi="Arial Narrow"/>
        </w:rPr>
        <w:t>ETAg</w:t>
      </w:r>
      <w:proofErr w:type="spellEnd"/>
      <w:r w:rsidR="0085373D" w:rsidRPr="00EC5781">
        <w:rPr>
          <w:rFonts w:ascii="Arial Narrow" w:hAnsi="Arial Narrow"/>
        </w:rPr>
        <w:t xml:space="preserve"> </w:t>
      </w:r>
      <w:r w:rsidR="006C1551" w:rsidRPr="00EC5781">
        <w:rPr>
          <w:rFonts w:ascii="Arial Narrow" w:hAnsi="Arial Narrow"/>
        </w:rPr>
        <w:t>avalikult kättesaadavaks oma kodulehel</w:t>
      </w:r>
      <w:r w:rsidR="006C1551" w:rsidRPr="00EC5781">
        <w:rPr>
          <w:rStyle w:val="Allmrkuseviide"/>
          <w:rFonts w:ascii="Arial Narrow" w:hAnsi="Arial Narrow"/>
        </w:rPr>
        <w:footnoteReference w:id="4"/>
      </w:r>
      <w:r w:rsidR="006C1551" w:rsidRPr="00EC5781">
        <w:rPr>
          <w:rFonts w:ascii="Arial Narrow" w:hAnsi="Arial Narrow"/>
        </w:rPr>
        <w:t xml:space="preserve">. </w:t>
      </w:r>
      <w:r w:rsidR="0085373D" w:rsidRPr="00EC5781">
        <w:rPr>
          <w:rFonts w:ascii="Arial Narrow" w:hAnsi="Arial Narrow"/>
        </w:rPr>
        <w:t xml:space="preserve">kõigile asutustele enne taotluse esitamise tähtaega. Vajadusel küsib </w:t>
      </w:r>
      <w:proofErr w:type="spellStart"/>
      <w:r w:rsidR="0085373D" w:rsidRPr="00EC5781">
        <w:rPr>
          <w:rFonts w:ascii="Arial Narrow" w:hAnsi="Arial Narrow"/>
        </w:rPr>
        <w:t>ETAg</w:t>
      </w:r>
      <w:proofErr w:type="spellEnd"/>
      <w:r w:rsidR="0085373D" w:rsidRPr="00EC5781">
        <w:rPr>
          <w:rFonts w:ascii="Arial Narrow" w:hAnsi="Arial Narrow"/>
        </w:rPr>
        <w:t xml:space="preserve"> taotlejalt täiendavaid andmeid, et hinnata taotleja vastavust </w:t>
      </w:r>
      <w:proofErr w:type="spellStart"/>
      <w:r w:rsidR="0085373D" w:rsidRPr="00EC5781">
        <w:rPr>
          <w:rFonts w:ascii="Arial Narrow" w:hAnsi="Arial Narrow"/>
        </w:rPr>
        <w:t>TAKSi</w:t>
      </w:r>
      <w:proofErr w:type="spellEnd"/>
      <w:r w:rsidR="0085373D" w:rsidRPr="00EC5781">
        <w:rPr>
          <w:rFonts w:ascii="Arial Narrow" w:hAnsi="Arial Narrow"/>
        </w:rPr>
        <w:t xml:space="preserve"> § 3-le (</w:t>
      </w:r>
      <w:proofErr w:type="spellStart"/>
      <w:r w:rsidR="0085373D" w:rsidRPr="00EC5781">
        <w:rPr>
          <w:rFonts w:ascii="Arial Narrow" w:hAnsi="Arial Narrow"/>
        </w:rPr>
        <w:t>TA-asutused</w:t>
      </w:r>
      <w:proofErr w:type="spellEnd"/>
      <w:r w:rsidR="0085373D" w:rsidRPr="00EC5781">
        <w:rPr>
          <w:rFonts w:ascii="Arial Narrow" w:hAnsi="Arial Narrow"/>
        </w:rPr>
        <w:t>).</w:t>
      </w:r>
    </w:p>
    <w:p w14:paraId="60222F31" w14:textId="197A3587" w:rsidR="00721678" w:rsidRPr="00EE23D0" w:rsidRDefault="007C28C9" w:rsidP="00721678">
      <w:pPr>
        <w:jc w:val="both"/>
        <w:rPr>
          <w:rFonts w:ascii="Arial Narrow" w:hAnsi="Arial Narrow"/>
        </w:rPr>
      </w:pPr>
      <w:r>
        <w:rPr>
          <w:rFonts w:ascii="Arial Narrow" w:hAnsi="Arial Narrow"/>
        </w:rPr>
        <w:t xml:space="preserve">4.3. </w:t>
      </w:r>
      <w:r w:rsidR="00721678" w:rsidRPr="00EE23D0">
        <w:rPr>
          <w:rFonts w:ascii="Arial Narrow" w:hAnsi="Arial Narrow"/>
        </w:rPr>
        <w:t xml:space="preserve">Asutus koostab </w:t>
      </w:r>
      <w:r w:rsidR="00721678" w:rsidRPr="00D33BE4">
        <w:rPr>
          <w:rFonts w:ascii="Arial Narrow" w:hAnsi="Arial Narrow"/>
        </w:rPr>
        <w:t>eneseanalüüsi aruande E</w:t>
      </w:r>
      <w:r w:rsidR="00EC5781">
        <w:rPr>
          <w:rFonts w:ascii="Arial Narrow" w:hAnsi="Arial Narrow"/>
        </w:rPr>
        <w:t>esti Teadusinfosüsteemis (edaspidi ETIS)</w:t>
      </w:r>
      <w:r w:rsidR="00721678" w:rsidRPr="00D33BE4">
        <w:rPr>
          <w:rFonts w:ascii="Arial Narrow" w:hAnsi="Arial Narrow"/>
        </w:rPr>
        <w:t xml:space="preserve"> vastaval vormil</w:t>
      </w:r>
      <w:r w:rsidR="002A7F79">
        <w:rPr>
          <w:rFonts w:ascii="Arial Narrow" w:hAnsi="Arial Narrow"/>
        </w:rPr>
        <w:t xml:space="preserve"> </w:t>
      </w:r>
      <w:proofErr w:type="spellStart"/>
      <w:r w:rsidR="002A7F79">
        <w:rPr>
          <w:rFonts w:ascii="Arial Narrow" w:hAnsi="Arial Narrow"/>
        </w:rPr>
        <w:t>ETAg</w:t>
      </w:r>
      <w:proofErr w:type="spellEnd"/>
      <w:r w:rsidR="002A7F79">
        <w:rPr>
          <w:rFonts w:ascii="Arial Narrow" w:hAnsi="Arial Narrow"/>
        </w:rPr>
        <w:t>-iga kokkulepitud tähtajaks</w:t>
      </w:r>
      <w:r w:rsidR="00721678" w:rsidRPr="00D33BE4">
        <w:rPr>
          <w:rFonts w:ascii="Arial Narrow" w:hAnsi="Arial Narrow"/>
        </w:rPr>
        <w:t>.</w:t>
      </w:r>
      <w:r w:rsidR="00721678" w:rsidRPr="00EE23D0">
        <w:rPr>
          <w:rFonts w:ascii="Arial Narrow" w:hAnsi="Arial Narrow"/>
        </w:rPr>
        <w:t xml:space="preserve"> Vormi täitmise juhend </w:t>
      </w:r>
      <w:r w:rsidR="0068119E">
        <w:rPr>
          <w:rFonts w:ascii="Arial Narrow" w:hAnsi="Arial Narrow"/>
        </w:rPr>
        <w:t>tehakse asutustele kättesaadavaks</w:t>
      </w:r>
      <w:r w:rsidR="00F05CCA">
        <w:rPr>
          <w:rFonts w:ascii="Arial Narrow" w:hAnsi="Arial Narrow"/>
        </w:rPr>
        <w:t xml:space="preserve"> ETAgi kodulehel</w:t>
      </w:r>
      <w:r w:rsidR="00721678" w:rsidRPr="00EE23D0">
        <w:rPr>
          <w:rFonts w:ascii="Arial Narrow" w:hAnsi="Arial Narrow"/>
        </w:rPr>
        <w:t xml:space="preserve">. </w:t>
      </w:r>
    </w:p>
    <w:p w14:paraId="071C029C" w14:textId="1E795F40" w:rsidR="0085373D" w:rsidRDefault="007C28C9" w:rsidP="0085373D">
      <w:pPr>
        <w:jc w:val="both"/>
        <w:rPr>
          <w:rFonts w:ascii="Arial Narrow" w:hAnsi="Arial Narrow" w:cs="Times New Roman"/>
        </w:rPr>
      </w:pPr>
      <w:r>
        <w:rPr>
          <w:rFonts w:ascii="Arial Narrow" w:hAnsi="Arial Narrow"/>
        </w:rPr>
        <w:t xml:space="preserve">4.4. </w:t>
      </w:r>
      <w:r w:rsidR="0085373D" w:rsidRPr="00D33BE4">
        <w:rPr>
          <w:rFonts w:ascii="Arial Narrow" w:hAnsi="Arial Narrow"/>
        </w:rPr>
        <w:t xml:space="preserve">Korralist </w:t>
      </w:r>
      <w:proofErr w:type="spellStart"/>
      <w:r w:rsidR="0085373D" w:rsidRPr="00D33BE4">
        <w:rPr>
          <w:rFonts w:ascii="Arial Narrow" w:hAnsi="Arial Narrow"/>
        </w:rPr>
        <w:t>evalveerimist</w:t>
      </w:r>
      <w:proofErr w:type="spellEnd"/>
      <w:r w:rsidR="0085373D" w:rsidRPr="00D33BE4">
        <w:rPr>
          <w:rFonts w:ascii="Arial Narrow" w:hAnsi="Arial Narrow"/>
        </w:rPr>
        <w:t xml:space="preserve"> viib läbi </w:t>
      </w:r>
      <w:r w:rsidR="006C1551" w:rsidRPr="00D33BE4">
        <w:rPr>
          <w:rFonts w:ascii="Arial Narrow" w:hAnsi="Arial Narrow"/>
        </w:rPr>
        <w:t>hindamiskomisjon (edaspidi: komisjon)</w:t>
      </w:r>
      <w:r w:rsidR="006C1551">
        <w:rPr>
          <w:rFonts w:ascii="Arial Narrow" w:hAnsi="Arial Narrow"/>
        </w:rPr>
        <w:t xml:space="preserve"> vastavalt käskkirjas sätestatud korrale ja lähtuvalt käesolevast hindamisjuhendist.</w:t>
      </w:r>
    </w:p>
    <w:p w14:paraId="589CDF15" w14:textId="3147E867" w:rsidR="0085373D" w:rsidRPr="007D4214" w:rsidRDefault="007C28C9" w:rsidP="007D4214">
      <w:pPr>
        <w:pStyle w:val="Kommentaaritekst"/>
        <w:rPr>
          <w:rFonts w:ascii="Arial Narrow" w:hAnsi="Arial Narrow"/>
          <w:sz w:val="22"/>
          <w:szCs w:val="22"/>
        </w:rPr>
      </w:pPr>
      <w:r>
        <w:rPr>
          <w:rFonts w:ascii="Arial Narrow" w:hAnsi="Arial Narrow"/>
          <w:sz w:val="22"/>
          <w:szCs w:val="22"/>
        </w:rPr>
        <w:t xml:space="preserve">4.5. </w:t>
      </w:r>
      <w:proofErr w:type="spellStart"/>
      <w:r w:rsidR="007D4214" w:rsidRPr="004D3E49">
        <w:rPr>
          <w:rFonts w:ascii="Arial Narrow" w:hAnsi="Arial Narrow"/>
          <w:sz w:val="22"/>
          <w:szCs w:val="22"/>
        </w:rPr>
        <w:t>ETAg</w:t>
      </w:r>
      <w:proofErr w:type="spellEnd"/>
      <w:r w:rsidR="007D4214" w:rsidRPr="004D3E49">
        <w:rPr>
          <w:rFonts w:ascii="Arial Narrow" w:hAnsi="Arial Narrow"/>
          <w:sz w:val="22"/>
          <w:szCs w:val="22"/>
        </w:rPr>
        <w:t xml:space="preserve"> lepib asutusega kokku k</w:t>
      </w:r>
      <w:r w:rsidR="0085373D" w:rsidRPr="004D3E49">
        <w:rPr>
          <w:rFonts w:ascii="Arial Narrow" w:hAnsi="Arial Narrow"/>
          <w:sz w:val="22"/>
          <w:szCs w:val="22"/>
        </w:rPr>
        <w:t xml:space="preserve">omisjoni </w:t>
      </w:r>
      <w:r w:rsidR="00B83A98" w:rsidRPr="004D3E49">
        <w:rPr>
          <w:rFonts w:ascii="Arial Narrow" w:hAnsi="Arial Narrow"/>
          <w:sz w:val="22"/>
          <w:szCs w:val="22"/>
        </w:rPr>
        <w:t xml:space="preserve">külastuse </w:t>
      </w:r>
      <w:r w:rsidR="00B707FF" w:rsidRPr="004D3E49">
        <w:rPr>
          <w:rFonts w:ascii="Arial Narrow" w:hAnsi="Arial Narrow"/>
          <w:sz w:val="22"/>
          <w:szCs w:val="22"/>
        </w:rPr>
        <w:t>toimumise nädala</w:t>
      </w:r>
      <w:r w:rsidR="007D4214" w:rsidRPr="004D3E49">
        <w:rPr>
          <w:rFonts w:ascii="Arial Narrow" w:hAnsi="Arial Narrow"/>
          <w:sz w:val="22"/>
          <w:szCs w:val="22"/>
        </w:rPr>
        <w:t xml:space="preserve"> hiljemalt kaks kuud pärast taotluse esitamise tähtaega. Külastuse täpsem </w:t>
      </w:r>
      <w:r w:rsidR="00B83A98" w:rsidRPr="004D3E49">
        <w:rPr>
          <w:rFonts w:ascii="Arial Narrow" w:hAnsi="Arial Narrow"/>
          <w:sz w:val="22"/>
          <w:szCs w:val="22"/>
        </w:rPr>
        <w:t xml:space="preserve">ajakava lepitakse kokku hiljemalt </w:t>
      </w:r>
      <w:r w:rsidR="008021F9">
        <w:rPr>
          <w:rFonts w:ascii="Arial Narrow" w:hAnsi="Arial Narrow"/>
          <w:sz w:val="22"/>
          <w:szCs w:val="22"/>
        </w:rPr>
        <w:t>kümme</w:t>
      </w:r>
      <w:r w:rsidR="0085373D" w:rsidRPr="004D3E49">
        <w:rPr>
          <w:rFonts w:ascii="Arial Narrow" w:hAnsi="Arial Narrow"/>
          <w:sz w:val="22"/>
          <w:szCs w:val="22"/>
        </w:rPr>
        <w:t xml:space="preserve"> tööpäeva e</w:t>
      </w:r>
      <w:r w:rsidR="00B83A98" w:rsidRPr="004D3E49">
        <w:rPr>
          <w:rFonts w:ascii="Arial Narrow" w:hAnsi="Arial Narrow"/>
          <w:sz w:val="22"/>
          <w:szCs w:val="22"/>
        </w:rPr>
        <w:t>nne külastuse algust</w:t>
      </w:r>
      <w:r w:rsidR="0085373D" w:rsidRPr="004D3E49">
        <w:rPr>
          <w:rFonts w:ascii="Arial Narrow" w:hAnsi="Arial Narrow"/>
          <w:sz w:val="22"/>
          <w:szCs w:val="22"/>
        </w:rPr>
        <w:t xml:space="preserve">. </w:t>
      </w:r>
    </w:p>
    <w:p w14:paraId="2CFBC02B" w14:textId="2EAB7C34" w:rsidR="0085373D" w:rsidRPr="00EE23D0" w:rsidRDefault="007C28C9" w:rsidP="0085373D">
      <w:pPr>
        <w:jc w:val="both"/>
        <w:rPr>
          <w:rFonts w:ascii="Arial Narrow" w:hAnsi="Arial Narrow"/>
        </w:rPr>
      </w:pPr>
      <w:r>
        <w:rPr>
          <w:rFonts w:ascii="Arial Narrow" w:hAnsi="Arial Narrow"/>
        </w:rPr>
        <w:t xml:space="preserve">4.6. </w:t>
      </w:r>
      <w:r w:rsidR="0085373D" w:rsidRPr="00EE23D0">
        <w:rPr>
          <w:rFonts w:ascii="Arial Narrow" w:hAnsi="Arial Narrow"/>
        </w:rPr>
        <w:t xml:space="preserve">Asutuse </w:t>
      </w:r>
      <w:r w:rsidR="006F7F20" w:rsidRPr="00EE23D0">
        <w:rPr>
          <w:rFonts w:ascii="Arial Narrow" w:hAnsi="Arial Narrow"/>
        </w:rPr>
        <w:t>k</w:t>
      </w:r>
      <w:r w:rsidR="00337350" w:rsidRPr="00EE23D0">
        <w:rPr>
          <w:rFonts w:ascii="Arial Narrow" w:hAnsi="Arial Narrow"/>
        </w:rPr>
        <w:t>ülastuse</w:t>
      </w:r>
      <w:r w:rsidR="0085373D" w:rsidRPr="00EE23D0">
        <w:rPr>
          <w:rFonts w:ascii="Arial Narrow" w:hAnsi="Arial Narrow"/>
        </w:rPr>
        <w:t xml:space="preserve"> käigus toimuvad järgmised tegevused:</w:t>
      </w:r>
    </w:p>
    <w:p w14:paraId="14EFDA29" w14:textId="2FC30202" w:rsidR="00337350" w:rsidRPr="00EE23D0" w:rsidRDefault="0085373D" w:rsidP="00337350">
      <w:pPr>
        <w:pStyle w:val="Loendilik"/>
        <w:numPr>
          <w:ilvl w:val="0"/>
          <w:numId w:val="5"/>
        </w:numPr>
        <w:jc w:val="both"/>
        <w:rPr>
          <w:rFonts w:ascii="Arial Narrow" w:hAnsi="Arial Narrow"/>
        </w:rPr>
      </w:pPr>
      <w:r w:rsidRPr="00EE23D0">
        <w:rPr>
          <w:rFonts w:ascii="Arial Narrow" w:hAnsi="Arial Narrow"/>
        </w:rPr>
        <w:t xml:space="preserve">Asutuse enesetutvustus </w:t>
      </w:r>
      <w:r w:rsidR="00EE23D0" w:rsidRPr="00EE23D0">
        <w:rPr>
          <w:rFonts w:ascii="Arial Narrow" w:hAnsi="Arial Narrow"/>
        </w:rPr>
        <w:t>enda</w:t>
      </w:r>
      <w:r w:rsidRPr="00EE23D0">
        <w:rPr>
          <w:rFonts w:ascii="Arial Narrow" w:hAnsi="Arial Narrow"/>
        </w:rPr>
        <w:t xml:space="preserve"> poolt valitud vormis</w:t>
      </w:r>
      <w:r w:rsidR="00337350" w:rsidRPr="00EE23D0">
        <w:rPr>
          <w:rFonts w:ascii="Arial Narrow" w:hAnsi="Arial Narrow"/>
        </w:rPr>
        <w:t>;</w:t>
      </w:r>
    </w:p>
    <w:p w14:paraId="1984BFFF" w14:textId="77777777" w:rsidR="00337350" w:rsidRPr="00EE23D0" w:rsidRDefault="0085373D" w:rsidP="00337350">
      <w:pPr>
        <w:pStyle w:val="Loendilik"/>
        <w:numPr>
          <w:ilvl w:val="0"/>
          <w:numId w:val="5"/>
        </w:numPr>
        <w:jc w:val="both"/>
        <w:rPr>
          <w:rFonts w:ascii="Arial Narrow" w:hAnsi="Arial Narrow"/>
        </w:rPr>
      </w:pPr>
      <w:r w:rsidRPr="00EE23D0">
        <w:rPr>
          <w:rFonts w:ascii="Arial Narrow" w:hAnsi="Arial Narrow"/>
        </w:rPr>
        <w:t>Asutuse infrastruktuuriga tutvumine</w:t>
      </w:r>
      <w:r w:rsidR="00337350" w:rsidRPr="00EE23D0">
        <w:rPr>
          <w:rFonts w:ascii="Arial Narrow" w:hAnsi="Arial Narrow"/>
        </w:rPr>
        <w:t>;</w:t>
      </w:r>
    </w:p>
    <w:p w14:paraId="44B1ACDD" w14:textId="599D8BBC" w:rsidR="0085373D" w:rsidRPr="00EE23D0" w:rsidRDefault="0085373D" w:rsidP="00337350">
      <w:pPr>
        <w:pStyle w:val="Loendilik"/>
        <w:numPr>
          <w:ilvl w:val="0"/>
          <w:numId w:val="5"/>
        </w:numPr>
        <w:jc w:val="both"/>
        <w:rPr>
          <w:rFonts w:ascii="Arial Narrow" w:hAnsi="Arial Narrow"/>
        </w:rPr>
      </w:pPr>
      <w:r w:rsidRPr="00EE23D0">
        <w:rPr>
          <w:rFonts w:ascii="Arial Narrow" w:hAnsi="Arial Narrow"/>
        </w:rPr>
        <w:t xml:space="preserve">Vestlused </w:t>
      </w:r>
      <w:r w:rsidR="00914092">
        <w:rPr>
          <w:rFonts w:ascii="Arial Narrow" w:hAnsi="Arial Narrow"/>
        </w:rPr>
        <w:t>asutuse töötajate,</w:t>
      </w:r>
      <w:r w:rsidRPr="00EE23D0">
        <w:rPr>
          <w:rFonts w:ascii="Arial Narrow" w:hAnsi="Arial Narrow"/>
        </w:rPr>
        <w:t xml:space="preserve"> doktoriõppe üliõpilaste ja teiste ekspertide hinnangul </w:t>
      </w:r>
      <w:proofErr w:type="spellStart"/>
      <w:r w:rsidR="00337350" w:rsidRPr="00EE23D0">
        <w:rPr>
          <w:rFonts w:ascii="Arial Narrow" w:hAnsi="Arial Narrow"/>
        </w:rPr>
        <w:t>evalveerimise</w:t>
      </w:r>
      <w:proofErr w:type="spellEnd"/>
      <w:r w:rsidR="00337350" w:rsidRPr="00EE23D0">
        <w:rPr>
          <w:rFonts w:ascii="Arial Narrow" w:hAnsi="Arial Narrow"/>
        </w:rPr>
        <w:t xml:space="preserve"> seisukohast </w:t>
      </w:r>
      <w:r w:rsidRPr="00EE23D0">
        <w:rPr>
          <w:rFonts w:ascii="Arial Narrow" w:hAnsi="Arial Narrow"/>
        </w:rPr>
        <w:t>olulist informatsiooni valdavate isikutega.</w:t>
      </w:r>
    </w:p>
    <w:p w14:paraId="0D79519A" w14:textId="03C8A6FE" w:rsidR="00914092" w:rsidRPr="00752696" w:rsidRDefault="007C28C9" w:rsidP="00752696">
      <w:pPr>
        <w:jc w:val="both"/>
        <w:rPr>
          <w:rFonts w:ascii="Arial Narrow" w:hAnsi="Arial Narrow"/>
        </w:rPr>
      </w:pPr>
      <w:r>
        <w:rPr>
          <w:rFonts w:ascii="Arial Narrow" w:hAnsi="Arial Narrow"/>
        </w:rPr>
        <w:t xml:space="preserve">4.7. </w:t>
      </w:r>
      <w:r w:rsidR="00914092" w:rsidRPr="00752696">
        <w:rPr>
          <w:rFonts w:ascii="Arial Narrow" w:hAnsi="Arial Narrow"/>
        </w:rPr>
        <w:t xml:space="preserve">Asutuse tegevust vastavas valdkonnas hindab komisjon käesolevas juhendis määratletud kriteeriumide alusel </w:t>
      </w:r>
      <w:r w:rsidR="00914092" w:rsidRPr="00752696">
        <w:rPr>
          <w:rFonts w:ascii="Arial Narrow" w:hAnsi="Arial Narrow"/>
          <w:i/>
        </w:rPr>
        <w:t xml:space="preserve">peer </w:t>
      </w:r>
      <w:proofErr w:type="spellStart"/>
      <w:r w:rsidR="00914092" w:rsidRPr="00752696">
        <w:rPr>
          <w:rFonts w:ascii="Arial Narrow" w:hAnsi="Arial Narrow"/>
          <w:i/>
        </w:rPr>
        <w:t>review</w:t>
      </w:r>
      <w:proofErr w:type="spellEnd"/>
      <w:r w:rsidR="00914092" w:rsidRPr="00752696">
        <w:rPr>
          <w:rFonts w:ascii="Arial Narrow" w:hAnsi="Arial Narrow"/>
        </w:rPr>
        <w:t xml:space="preserve"> põhimõttel. </w:t>
      </w:r>
    </w:p>
    <w:p w14:paraId="44635C8B" w14:textId="43BB186B" w:rsidR="006C1551" w:rsidRPr="006C1551" w:rsidRDefault="007C28C9" w:rsidP="006C1551">
      <w:pPr>
        <w:jc w:val="both"/>
        <w:rPr>
          <w:rFonts w:ascii="Arial Narrow" w:hAnsi="Arial Narrow"/>
        </w:rPr>
      </w:pPr>
      <w:r>
        <w:rPr>
          <w:rFonts w:ascii="Arial Narrow" w:hAnsi="Arial Narrow"/>
        </w:rPr>
        <w:t xml:space="preserve">4.8. </w:t>
      </w:r>
      <w:r w:rsidR="006C1551" w:rsidRPr="006C1551">
        <w:rPr>
          <w:rFonts w:ascii="Arial Narrow" w:hAnsi="Arial Narrow"/>
        </w:rPr>
        <w:t>Asutus tagab komisjonile võimaluse nimetatud tegevuste läbiviimiseks.</w:t>
      </w:r>
    </w:p>
    <w:p w14:paraId="6F417924" w14:textId="7BA498E9" w:rsidR="0085373D" w:rsidRPr="00EE23D0" w:rsidRDefault="007C28C9" w:rsidP="0085373D">
      <w:pPr>
        <w:jc w:val="both"/>
        <w:rPr>
          <w:rFonts w:ascii="Arial Narrow" w:hAnsi="Arial Narrow"/>
        </w:rPr>
      </w:pPr>
      <w:r>
        <w:rPr>
          <w:rFonts w:ascii="Arial Narrow" w:hAnsi="Arial Narrow"/>
        </w:rPr>
        <w:t xml:space="preserve">4.9. </w:t>
      </w:r>
      <w:r w:rsidR="00914092" w:rsidRPr="00914092">
        <w:rPr>
          <w:rFonts w:ascii="Arial Narrow" w:hAnsi="Arial Narrow"/>
        </w:rPr>
        <w:t>Eksperthinnangu andmisel lähtuvad komisjoni liikmed asutuse eneseanalüüsi aruandest ning asutuste külastuste käigus saad</w:t>
      </w:r>
      <w:r w:rsidR="00914092">
        <w:rPr>
          <w:rFonts w:ascii="Arial Narrow" w:hAnsi="Arial Narrow"/>
        </w:rPr>
        <w:t>ud</w:t>
      </w:r>
      <w:r w:rsidR="00914092" w:rsidRPr="00914092">
        <w:rPr>
          <w:rFonts w:ascii="Arial Narrow" w:hAnsi="Arial Narrow"/>
        </w:rPr>
        <w:t xml:space="preserve"> informatsioonist. Komisjonil on õigus nõuda asutuselt </w:t>
      </w:r>
      <w:proofErr w:type="spellStart"/>
      <w:r w:rsidR="00914092" w:rsidRPr="00914092">
        <w:rPr>
          <w:rFonts w:ascii="Arial Narrow" w:hAnsi="Arial Narrow"/>
        </w:rPr>
        <w:t>evalveerimisel</w:t>
      </w:r>
      <w:proofErr w:type="spellEnd"/>
      <w:r w:rsidR="00914092" w:rsidRPr="00914092">
        <w:rPr>
          <w:rFonts w:ascii="Arial Narrow" w:hAnsi="Arial Narrow"/>
        </w:rPr>
        <w:t xml:space="preserve"> tähtsust omavate täiendavate materjalide esitamist.</w:t>
      </w:r>
      <w:r w:rsidR="00914092">
        <w:rPr>
          <w:rFonts w:ascii="Arial Narrow" w:hAnsi="Arial Narrow"/>
        </w:rPr>
        <w:t xml:space="preserve"> </w:t>
      </w:r>
      <w:proofErr w:type="spellStart"/>
      <w:r w:rsidR="0085373D" w:rsidRPr="00EE23D0">
        <w:rPr>
          <w:rFonts w:ascii="Arial Narrow" w:hAnsi="Arial Narrow"/>
        </w:rPr>
        <w:t>Evalveerimisel</w:t>
      </w:r>
      <w:proofErr w:type="spellEnd"/>
      <w:r w:rsidR="0085373D" w:rsidRPr="00EE23D0">
        <w:rPr>
          <w:rFonts w:ascii="Arial Narrow" w:hAnsi="Arial Narrow"/>
        </w:rPr>
        <w:t xml:space="preserve"> arvestatakse vastava valdkonna eripära. </w:t>
      </w:r>
    </w:p>
    <w:p w14:paraId="3DD158A2" w14:textId="7EFBAF89" w:rsidR="0085373D" w:rsidRPr="00EE23D0" w:rsidRDefault="003A5602" w:rsidP="0085373D">
      <w:pPr>
        <w:jc w:val="both"/>
        <w:rPr>
          <w:rFonts w:ascii="Arial Narrow" w:hAnsi="Arial Narrow"/>
        </w:rPr>
      </w:pPr>
      <w:r>
        <w:rPr>
          <w:rFonts w:ascii="Arial Narrow" w:hAnsi="Arial Narrow"/>
        </w:rPr>
        <w:t>4</w:t>
      </w:r>
      <w:r w:rsidR="007C28C9">
        <w:rPr>
          <w:rFonts w:ascii="Arial Narrow" w:hAnsi="Arial Narrow"/>
        </w:rPr>
        <w:t>.</w:t>
      </w:r>
      <w:r>
        <w:rPr>
          <w:rFonts w:ascii="Arial Narrow" w:hAnsi="Arial Narrow"/>
        </w:rPr>
        <w:t>1</w:t>
      </w:r>
      <w:r w:rsidR="007C28C9">
        <w:rPr>
          <w:rFonts w:ascii="Arial Narrow" w:hAnsi="Arial Narrow"/>
        </w:rPr>
        <w:t xml:space="preserve">0. </w:t>
      </w:r>
      <w:r w:rsidR="0085373D" w:rsidRPr="00EE23D0">
        <w:rPr>
          <w:rFonts w:ascii="Arial Narrow" w:hAnsi="Arial Narrow"/>
        </w:rPr>
        <w:t xml:space="preserve">Komisjon esitab </w:t>
      </w:r>
      <w:proofErr w:type="spellStart"/>
      <w:r w:rsidR="00EE23D0" w:rsidRPr="00EE23D0">
        <w:rPr>
          <w:rFonts w:ascii="Arial Narrow" w:hAnsi="Arial Narrow"/>
        </w:rPr>
        <w:t>evalveerimisraporti</w:t>
      </w:r>
      <w:proofErr w:type="spellEnd"/>
      <w:r w:rsidR="0085373D" w:rsidRPr="00EE23D0">
        <w:rPr>
          <w:rFonts w:ascii="Arial Narrow" w:hAnsi="Arial Narrow"/>
        </w:rPr>
        <w:t xml:space="preserve"> </w:t>
      </w:r>
      <w:proofErr w:type="spellStart"/>
      <w:r w:rsidR="0085373D" w:rsidRPr="00EE23D0">
        <w:rPr>
          <w:rFonts w:ascii="Arial Narrow" w:hAnsi="Arial Narrow"/>
        </w:rPr>
        <w:t>E</w:t>
      </w:r>
      <w:r w:rsidR="00337350" w:rsidRPr="00EE23D0">
        <w:rPr>
          <w:rFonts w:ascii="Arial Narrow" w:hAnsi="Arial Narrow"/>
        </w:rPr>
        <w:t>TIS-e</w:t>
      </w:r>
      <w:proofErr w:type="spellEnd"/>
      <w:r w:rsidR="0085373D" w:rsidRPr="00EE23D0">
        <w:rPr>
          <w:rFonts w:ascii="Arial Narrow" w:hAnsi="Arial Narrow"/>
        </w:rPr>
        <w:t xml:space="preserve"> keskkonnas </w:t>
      </w:r>
      <w:r w:rsidR="00471BA0">
        <w:rPr>
          <w:rFonts w:ascii="Arial Narrow" w:hAnsi="Arial Narrow"/>
        </w:rPr>
        <w:t>etteantud vormil</w:t>
      </w:r>
      <w:r w:rsidR="0085373D" w:rsidRPr="00EE23D0">
        <w:rPr>
          <w:rFonts w:ascii="Arial Narrow" w:hAnsi="Arial Narrow"/>
        </w:rPr>
        <w:t xml:space="preserve">, </w:t>
      </w:r>
      <w:r w:rsidR="00EE23D0" w:rsidRPr="00EE23D0">
        <w:rPr>
          <w:rFonts w:ascii="Arial Narrow" w:hAnsi="Arial Narrow"/>
        </w:rPr>
        <w:t>raporti</w:t>
      </w:r>
      <w:r w:rsidR="0085373D" w:rsidRPr="00EE23D0">
        <w:rPr>
          <w:rFonts w:ascii="Arial Narrow" w:hAnsi="Arial Narrow"/>
        </w:rPr>
        <w:t xml:space="preserve"> </w:t>
      </w:r>
      <w:r w:rsidR="00337350" w:rsidRPr="00EE23D0">
        <w:rPr>
          <w:rFonts w:ascii="Arial Narrow" w:hAnsi="Arial Narrow"/>
        </w:rPr>
        <w:t>kinnitab</w:t>
      </w:r>
      <w:r w:rsidR="0085373D" w:rsidRPr="00EE23D0">
        <w:rPr>
          <w:rFonts w:ascii="Arial Narrow" w:hAnsi="Arial Narrow"/>
        </w:rPr>
        <w:t xml:space="preserve"> komisjoni esimees. </w:t>
      </w:r>
    </w:p>
    <w:p w14:paraId="5C6539B5" w14:textId="77777777" w:rsidR="00A67765" w:rsidRPr="00EE23D0" w:rsidRDefault="00A67765" w:rsidP="00A67765">
      <w:pPr>
        <w:jc w:val="both"/>
        <w:rPr>
          <w:rFonts w:ascii="Arial Narrow" w:hAnsi="Arial Narrow"/>
          <w:b/>
        </w:rPr>
      </w:pPr>
    </w:p>
    <w:p w14:paraId="3BB8BE87" w14:textId="32615B31" w:rsidR="003A7410" w:rsidRPr="00EC5781" w:rsidRDefault="00914092" w:rsidP="00EC5781">
      <w:pPr>
        <w:pStyle w:val="Loendilik"/>
        <w:numPr>
          <w:ilvl w:val="0"/>
          <w:numId w:val="28"/>
        </w:numPr>
        <w:jc w:val="both"/>
        <w:rPr>
          <w:rFonts w:ascii="Arial Narrow" w:hAnsi="Arial Narrow"/>
          <w:b/>
        </w:rPr>
      </w:pPr>
      <w:r w:rsidRPr="00EC5781">
        <w:rPr>
          <w:rFonts w:ascii="Arial Narrow" w:hAnsi="Arial Narrow"/>
          <w:b/>
        </w:rPr>
        <w:t>TA h</w:t>
      </w:r>
      <w:r w:rsidR="003A7410" w:rsidRPr="00EC5781">
        <w:rPr>
          <w:rFonts w:ascii="Arial Narrow" w:hAnsi="Arial Narrow"/>
          <w:b/>
        </w:rPr>
        <w:t>indamiskriteeriumid</w:t>
      </w:r>
      <w:r w:rsidR="00851CC6" w:rsidRPr="00EC5781">
        <w:rPr>
          <w:rFonts w:ascii="Arial Narrow" w:hAnsi="Arial Narrow"/>
          <w:b/>
        </w:rPr>
        <w:t xml:space="preserve"> ja </w:t>
      </w:r>
      <w:r w:rsidR="005E00D2" w:rsidRPr="00EC5781">
        <w:rPr>
          <w:rFonts w:ascii="Arial Narrow" w:hAnsi="Arial Narrow"/>
          <w:b/>
        </w:rPr>
        <w:t>-</w:t>
      </w:r>
      <w:r w:rsidR="00851CC6" w:rsidRPr="00EC5781">
        <w:rPr>
          <w:rFonts w:ascii="Arial Narrow" w:hAnsi="Arial Narrow"/>
          <w:b/>
        </w:rPr>
        <w:t>indikaatorid</w:t>
      </w:r>
    </w:p>
    <w:p w14:paraId="0CFDBD1F" w14:textId="40B4AF8A" w:rsidR="00653BEC" w:rsidRPr="00EE23D0" w:rsidRDefault="00587053" w:rsidP="00A428F1">
      <w:pPr>
        <w:jc w:val="both"/>
        <w:rPr>
          <w:rFonts w:ascii="Arial Narrow" w:hAnsi="Arial Narrow"/>
          <w:b/>
        </w:rPr>
      </w:pPr>
      <w:r w:rsidRPr="00EE23D0">
        <w:rPr>
          <w:rFonts w:ascii="Arial Narrow" w:hAnsi="Arial Narrow"/>
        </w:rPr>
        <w:t xml:space="preserve">Tulenevalt </w:t>
      </w:r>
      <w:r w:rsidR="00B11316">
        <w:rPr>
          <w:rFonts w:ascii="Arial Narrow" w:hAnsi="Arial Narrow"/>
        </w:rPr>
        <w:t xml:space="preserve">korralise </w:t>
      </w:r>
      <w:proofErr w:type="spellStart"/>
      <w:r w:rsidR="00B11316">
        <w:rPr>
          <w:rFonts w:ascii="Arial Narrow" w:hAnsi="Arial Narrow"/>
        </w:rPr>
        <w:t>evalveerimise</w:t>
      </w:r>
      <w:proofErr w:type="spellEnd"/>
      <w:r w:rsidRPr="00EE23D0">
        <w:rPr>
          <w:rFonts w:ascii="Arial Narrow" w:hAnsi="Arial Narrow"/>
        </w:rPr>
        <w:t xml:space="preserve"> eesmär</w:t>
      </w:r>
      <w:r w:rsidR="006C1551">
        <w:rPr>
          <w:rFonts w:ascii="Arial Narrow" w:hAnsi="Arial Narrow"/>
        </w:rPr>
        <w:t>gist</w:t>
      </w:r>
      <w:r w:rsidRPr="00EE23D0">
        <w:rPr>
          <w:rFonts w:ascii="Arial Narrow" w:hAnsi="Arial Narrow"/>
        </w:rPr>
        <w:t xml:space="preserve"> on hindam</w:t>
      </w:r>
      <w:r w:rsidR="004A69AE" w:rsidRPr="00EE23D0">
        <w:rPr>
          <w:rFonts w:ascii="Arial Narrow" w:hAnsi="Arial Narrow"/>
        </w:rPr>
        <w:t>is</w:t>
      </w:r>
      <w:r w:rsidRPr="00EE23D0">
        <w:rPr>
          <w:rFonts w:ascii="Arial Narrow" w:hAnsi="Arial Narrow"/>
        </w:rPr>
        <w:t>kriteeriumid järgmised:</w:t>
      </w:r>
    </w:p>
    <w:p w14:paraId="4E72F7A4" w14:textId="61F0FC92" w:rsidR="00D9300D" w:rsidRPr="00EC5781" w:rsidRDefault="00EC5781" w:rsidP="00EC5781">
      <w:pPr>
        <w:jc w:val="both"/>
        <w:rPr>
          <w:rFonts w:ascii="Arial Narrow" w:hAnsi="Arial Narrow"/>
        </w:rPr>
      </w:pPr>
      <w:r w:rsidRPr="00EC5781">
        <w:rPr>
          <w:rFonts w:ascii="Arial Narrow" w:hAnsi="Arial Narrow"/>
        </w:rPr>
        <w:t>5.1.</w:t>
      </w:r>
      <w:r>
        <w:rPr>
          <w:rFonts w:ascii="Arial Narrow" w:hAnsi="Arial Narrow"/>
          <w:b/>
        </w:rPr>
        <w:t xml:space="preserve"> T</w:t>
      </w:r>
      <w:r w:rsidR="00774172" w:rsidRPr="00EC5781">
        <w:rPr>
          <w:rFonts w:ascii="Arial Narrow" w:hAnsi="Arial Narrow"/>
          <w:b/>
        </w:rPr>
        <w:t xml:space="preserve">eaduslik </w:t>
      </w:r>
      <w:r w:rsidR="00D9300D" w:rsidRPr="00EC5781">
        <w:rPr>
          <w:rFonts w:ascii="Arial Narrow" w:hAnsi="Arial Narrow"/>
          <w:b/>
        </w:rPr>
        <w:t>mõjukus</w:t>
      </w:r>
      <w:r w:rsidR="00D9300D" w:rsidRPr="00EC5781">
        <w:rPr>
          <w:rFonts w:ascii="Arial Narrow" w:hAnsi="Arial Narrow"/>
        </w:rPr>
        <w:t xml:space="preserve"> (</w:t>
      </w:r>
      <w:proofErr w:type="spellStart"/>
      <w:r w:rsidR="005E00D2" w:rsidRPr="00EC5781">
        <w:rPr>
          <w:rFonts w:ascii="Arial Narrow" w:hAnsi="Arial Narrow"/>
          <w:i/>
        </w:rPr>
        <w:t>Scientific</w:t>
      </w:r>
      <w:proofErr w:type="spellEnd"/>
      <w:r w:rsidR="005E00D2" w:rsidRPr="00EC5781">
        <w:rPr>
          <w:rFonts w:ascii="Arial Narrow" w:hAnsi="Arial Narrow"/>
          <w:i/>
        </w:rPr>
        <w:t xml:space="preserve"> </w:t>
      </w:r>
      <w:proofErr w:type="spellStart"/>
      <w:r w:rsidR="00D9300D" w:rsidRPr="00EC5781">
        <w:rPr>
          <w:rFonts w:ascii="Arial Narrow" w:hAnsi="Arial Narrow"/>
          <w:i/>
        </w:rPr>
        <w:t>Impact</w:t>
      </w:r>
      <w:proofErr w:type="spellEnd"/>
      <w:r w:rsidR="00D9300D" w:rsidRPr="00EC5781">
        <w:rPr>
          <w:rFonts w:ascii="Arial Narrow" w:hAnsi="Arial Narrow"/>
          <w:i/>
        </w:rPr>
        <w:t xml:space="preserve"> of </w:t>
      </w:r>
      <w:proofErr w:type="spellStart"/>
      <w:r w:rsidR="00D9300D" w:rsidRPr="00EC5781">
        <w:rPr>
          <w:rFonts w:ascii="Arial Narrow" w:hAnsi="Arial Narrow"/>
          <w:i/>
        </w:rPr>
        <w:t>Research</w:t>
      </w:r>
      <w:proofErr w:type="spellEnd"/>
      <w:r w:rsidR="00D9300D" w:rsidRPr="00EC5781">
        <w:rPr>
          <w:rFonts w:ascii="Arial Narrow" w:hAnsi="Arial Narrow"/>
        </w:rPr>
        <w:t xml:space="preserve">) </w:t>
      </w:r>
    </w:p>
    <w:p w14:paraId="2C79BCFC" w14:textId="765D9930" w:rsidR="00587053" w:rsidRPr="00EE23D0" w:rsidRDefault="005E00D2" w:rsidP="00587053">
      <w:pPr>
        <w:jc w:val="both"/>
        <w:rPr>
          <w:rFonts w:ascii="Arial Narrow" w:hAnsi="Arial Narrow"/>
          <w:i/>
        </w:rPr>
      </w:pPr>
      <w:r w:rsidRPr="00EE23D0">
        <w:rPr>
          <w:rFonts w:ascii="Arial Narrow" w:hAnsi="Arial Narrow"/>
        </w:rPr>
        <w:t>Teadusliku mõjukuse all mõistetakse TA otsese väljundi</w:t>
      </w:r>
      <w:r w:rsidR="00D9300D" w:rsidRPr="00EE23D0">
        <w:rPr>
          <w:rFonts w:ascii="Arial Narrow" w:hAnsi="Arial Narrow"/>
        </w:rPr>
        <w:t xml:space="preserve"> </w:t>
      </w:r>
      <w:r w:rsidRPr="00EE23D0">
        <w:rPr>
          <w:rFonts w:ascii="Arial Narrow" w:hAnsi="Arial Narrow"/>
        </w:rPr>
        <w:t xml:space="preserve">– </w:t>
      </w:r>
      <w:r w:rsidR="00D9300D" w:rsidRPr="00EE23D0">
        <w:rPr>
          <w:rFonts w:ascii="Arial Narrow" w:hAnsi="Arial Narrow"/>
        </w:rPr>
        <w:t>publikatsioonid</w:t>
      </w:r>
      <w:r w:rsidRPr="00EE23D0">
        <w:rPr>
          <w:rFonts w:ascii="Arial Narrow" w:hAnsi="Arial Narrow"/>
        </w:rPr>
        <w:t xml:space="preserve">e ja </w:t>
      </w:r>
      <w:r w:rsidR="00D9300D" w:rsidRPr="00EE23D0">
        <w:rPr>
          <w:rFonts w:ascii="Arial Narrow" w:hAnsi="Arial Narrow"/>
        </w:rPr>
        <w:t>tööstusomandi</w:t>
      </w:r>
      <w:r w:rsidRPr="00EE23D0">
        <w:rPr>
          <w:rFonts w:ascii="Arial Narrow" w:hAnsi="Arial Narrow"/>
        </w:rPr>
        <w:t xml:space="preserve">te – hulka ja </w:t>
      </w:r>
      <w:r w:rsidR="00C228F3">
        <w:rPr>
          <w:rFonts w:ascii="Arial Narrow" w:hAnsi="Arial Narrow"/>
        </w:rPr>
        <w:t xml:space="preserve"> mõjukust</w:t>
      </w:r>
      <w:r w:rsidR="00F24AE2">
        <w:rPr>
          <w:rFonts w:ascii="Arial Narrow" w:hAnsi="Arial Narrow"/>
        </w:rPr>
        <w:t xml:space="preserve"> </w:t>
      </w:r>
      <w:r w:rsidR="00F24AE2" w:rsidRPr="00EE23D0">
        <w:rPr>
          <w:rFonts w:ascii="Arial Narrow" w:hAnsi="Arial Narrow"/>
        </w:rPr>
        <w:t>(rahvusvahelises valdkonn</w:t>
      </w:r>
      <w:r w:rsidR="00F24AE2">
        <w:rPr>
          <w:rFonts w:ascii="Arial Narrow" w:hAnsi="Arial Narrow"/>
        </w:rPr>
        <w:t>aspetsiifilises võrdluses)</w:t>
      </w:r>
      <w:r w:rsidRPr="00EE23D0">
        <w:rPr>
          <w:rFonts w:ascii="Arial Narrow" w:hAnsi="Arial Narrow"/>
        </w:rPr>
        <w:t>.</w:t>
      </w:r>
      <w:r w:rsidR="00587053" w:rsidRPr="00EE23D0">
        <w:rPr>
          <w:rFonts w:ascii="Arial Narrow" w:hAnsi="Arial Narrow"/>
        </w:rPr>
        <w:t xml:space="preserve"> </w:t>
      </w:r>
      <w:r w:rsidR="00587053" w:rsidRPr="00EE23D0">
        <w:rPr>
          <w:rFonts w:ascii="Arial Narrow" w:hAnsi="Arial Narrow"/>
          <w:i/>
        </w:rPr>
        <w:t xml:space="preserve"> </w:t>
      </w:r>
    </w:p>
    <w:p w14:paraId="58CF5ED7" w14:textId="26064776" w:rsidR="00D9300D" w:rsidRPr="00EE23D0" w:rsidRDefault="00D9300D" w:rsidP="00A428F1">
      <w:pPr>
        <w:jc w:val="both"/>
        <w:rPr>
          <w:rFonts w:ascii="Arial Narrow" w:hAnsi="Arial Narrow"/>
        </w:rPr>
      </w:pPr>
      <w:r w:rsidRPr="00EE23D0">
        <w:rPr>
          <w:rFonts w:ascii="Arial Narrow" w:hAnsi="Arial Narrow"/>
        </w:rPr>
        <w:t>T</w:t>
      </w:r>
      <w:r w:rsidR="005E00D2" w:rsidRPr="00EE23D0">
        <w:rPr>
          <w:rFonts w:ascii="Arial Narrow" w:hAnsi="Arial Narrow"/>
        </w:rPr>
        <w:t xml:space="preserve">eadusliku </w:t>
      </w:r>
      <w:r w:rsidRPr="00EE23D0">
        <w:rPr>
          <w:rFonts w:ascii="Arial Narrow" w:hAnsi="Arial Narrow"/>
        </w:rPr>
        <w:t>mõjukuse indikaatorid</w:t>
      </w:r>
      <w:r w:rsidR="00F24AE2">
        <w:rPr>
          <w:rFonts w:ascii="Arial Narrow" w:hAnsi="Arial Narrow"/>
        </w:rPr>
        <w:t xml:space="preserve"> on</w:t>
      </w:r>
      <w:r w:rsidR="005E00D2" w:rsidRPr="00EE23D0">
        <w:rPr>
          <w:rFonts w:ascii="Arial Narrow" w:hAnsi="Arial Narrow"/>
        </w:rPr>
        <w:t>:</w:t>
      </w:r>
    </w:p>
    <w:p w14:paraId="4D9C6225" w14:textId="77777777" w:rsidR="00EC5781" w:rsidRDefault="005E00D2" w:rsidP="00EC5781">
      <w:pPr>
        <w:pStyle w:val="Loendilik"/>
        <w:numPr>
          <w:ilvl w:val="2"/>
          <w:numId w:val="32"/>
        </w:numPr>
        <w:jc w:val="both"/>
        <w:rPr>
          <w:rFonts w:ascii="Arial Narrow" w:hAnsi="Arial Narrow"/>
        </w:rPr>
      </w:pPr>
      <w:r w:rsidRPr="00EC5781">
        <w:rPr>
          <w:rFonts w:ascii="Arial Narrow" w:hAnsi="Arial Narrow"/>
        </w:rPr>
        <w:t>Publikatsioonide arv</w:t>
      </w:r>
      <w:r w:rsidR="00587053" w:rsidRPr="00EC5781">
        <w:rPr>
          <w:rFonts w:ascii="Arial Narrow" w:hAnsi="Arial Narrow"/>
        </w:rPr>
        <w:t xml:space="preserve"> ja jaotus klassifikaatorite lõikes</w:t>
      </w:r>
      <w:r w:rsidR="00CD4F08" w:rsidRPr="00EC5781">
        <w:rPr>
          <w:rFonts w:ascii="Arial Narrow" w:hAnsi="Arial Narrow"/>
        </w:rPr>
        <w:t>;</w:t>
      </w:r>
    </w:p>
    <w:p w14:paraId="29857574" w14:textId="77777777" w:rsidR="00EC5781" w:rsidRDefault="005E00D2" w:rsidP="00EC5781">
      <w:pPr>
        <w:pStyle w:val="Loendilik"/>
        <w:numPr>
          <w:ilvl w:val="2"/>
          <w:numId w:val="32"/>
        </w:numPr>
        <w:jc w:val="both"/>
        <w:rPr>
          <w:rFonts w:ascii="Arial Narrow" w:hAnsi="Arial Narrow"/>
        </w:rPr>
      </w:pPr>
      <w:r w:rsidRPr="00EC5781">
        <w:rPr>
          <w:rFonts w:ascii="Arial Narrow" w:hAnsi="Arial Narrow"/>
        </w:rPr>
        <w:t>Teadusartiklite mõjukus</w:t>
      </w:r>
      <w:r w:rsidR="00CD4F08" w:rsidRPr="00EC5781">
        <w:rPr>
          <w:rFonts w:ascii="Arial Narrow" w:hAnsi="Arial Narrow"/>
        </w:rPr>
        <w:t>;</w:t>
      </w:r>
      <w:r w:rsidRPr="00EC5781">
        <w:rPr>
          <w:rFonts w:ascii="Arial Narrow" w:hAnsi="Arial Narrow"/>
        </w:rPr>
        <w:t xml:space="preserve"> </w:t>
      </w:r>
    </w:p>
    <w:p w14:paraId="08DD584A" w14:textId="77777777" w:rsidR="00EC5781" w:rsidRDefault="00587053" w:rsidP="00EC5781">
      <w:pPr>
        <w:pStyle w:val="Loendilik"/>
        <w:numPr>
          <w:ilvl w:val="2"/>
          <w:numId w:val="32"/>
        </w:numPr>
        <w:jc w:val="both"/>
        <w:rPr>
          <w:rFonts w:ascii="Arial Narrow" w:hAnsi="Arial Narrow"/>
        </w:rPr>
      </w:pPr>
      <w:r w:rsidRPr="00EC5781">
        <w:rPr>
          <w:rFonts w:ascii="Arial Narrow" w:hAnsi="Arial Narrow"/>
        </w:rPr>
        <w:t>Tööstusomandite arv</w:t>
      </w:r>
      <w:r w:rsidR="00CD4F08" w:rsidRPr="00EC5781">
        <w:rPr>
          <w:rFonts w:ascii="Arial Narrow" w:hAnsi="Arial Narrow"/>
        </w:rPr>
        <w:t>;</w:t>
      </w:r>
    </w:p>
    <w:p w14:paraId="624A0EE2" w14:textId="77777777" w:rsidR="00EC5781" w:rsidRDefault="00E64251" w:rsidP="00EC5781">
      <w:pPr>
        <w:pStyle w:val="Loendilik"/>
        <w:numPr>
          <w:ilvl w:val="2"/>
          <w:numId w:val="32"/>
        </w:numPr>
        <w:jc w:val="both"/>
        <w:rPr>
          <w:rFonts w:ascii="Arial Narrow" w:hAnsi="Arial Narrow"/>
        </w:rPr>
      </w:pPr>
      <w:r w:rsidRPr="00EC5781">
        <w:rPr>
          <w:rFonts w:ascii="Arial Narrow" w:hAnsi="Arial Narrow"/>
        </w:rPr>
        <w:t xml:space="preserve">Asutuse hinnangul mõjukaimad </w:t>
      </w:r>
      <w:r w:rsidR="00587053" w:rsidRPr="00EC5781">
        <w:rPr>
          <w:rFonts w:ascii="Arial Narrow" w:hAnsi="Arial Narrow"/>
        </w:rPr>
        <w:t>TA-tulemused</w:t>
      </w:r>
      <w:r w:rsidR="00B72313" w:rsidRPr="00EC5781">
        <w:rPr>
          <w:rFonts w:ascii="Arial Narrow" w:hAnsi="Arial Narrow"/>
        </w:rPr>
        <w:t xml:space="preserve"> (publikatsioonid)</w:t>
      </w:r>
      <w:r w:rsidR="00CD4F08" w:rsidRPr="00EC5781">
        <w:rPr>
          <w:rFonts w:ascii="Arial Narrow" w:hAnsi="Arial Narrow"/>
        </w:rPr>
        <w:t>;</w:t>
      </w:r>
    </w:p>
    <w:p w14:paraId="68ACD738" w14:textId="7FCAD060" w:rsidR="00D9300D" w:rsidRPr="00EC5781" w:rsidRDefault="00587053" w:rsidP="00EC5781">
      <w:pPr>
        <w:pStyle w:val="Loendilik"/>
        <w:numPr>
          <w:ilvl w:val="2"/>
          <w:numId w:val="32"/>
        </w:numPr>
        <w:jc w:val="both"/>
        <w:rPr>
          <w:rFonts w:ascii="Arial Narrow" w:hAnsi="Arial Narrow"/>
        </w:rPr>
      </w:pPr>
      <w:r w:rsidRPr="00EC5781">
        <w:rPr>
          <w:rFonts w:ascii="Arial Narrow" w:hAnsi="Arial Narrow"/>
        </w:rPr>
        <w:lastRenderedPageBreak/>
        <w:t>Asutuse hinnangul TA olulisim</w:t>
      </w:r>
      <w:r w:rsidR="004A4E7F" w:rsidRPr="00EC5781">
        <w:rPr>
          <w:rFonts w:ascii="Arial Narrow" w:hAnsi="Arial Narrow"/>
        </w:rPr>
        <w:t>ad</w:t>
      </w:r>
      <w:r w:rsidRPr="00EC5781">
        <w:rPr>
          <w:rFonts w:ascii="Arial Narrow" w:hAnsi="Arial Narrow"/>
        </w:rPr>
        <w:t xml:space="preserve"> </w:t>
      </w:r>
      <w:r w:rsidR="004A4E7F" w:rsidRPr="00EC5781">
        <w:rPr>
          <w:rFonts w:ascii="Arial Narrow" w:hAnsi="Arial Narrow"/>
        </w:rPr>
        <w:t xml:space="preserve">teaduslikku </w:t>
      </w:r>
      <w:r w:rsidRPr="00EC5781">
        <w:rPr>
          <w:rFonts w:ascii="Arial Narrow" w:hAnsi="Arial Narrow"/>
        </w:rPr>
        <w:t>mõju</w:t>
      </w:r>
      <w:r w:rsidR="004A4E7F" w:rsidRPr="00EC5781">
        <w:rPr>
          <w:rFonts w:ascii="Arial Narrow" w:hAnsi="Arial Narrow"/>
        </w:rPr>
        <w:t xml:space="preserve">kust näitavad </w:t>
      </w:r>
      <w:r w:rsidR="00F24AE2" w:rsidRPr="00EC5781">
        <w:rPr>
          <w:rFonts w:ascii="Arial Narrow" w:hAnsi="Arial Narrow"/>
        </w:rPr>
        <w:t xml:space="preserve">täiendavad </w:t>
      </w:r>
      <w:r w:rsidR="004A4E7F" w:rsidRPr="00EC5781">
        <w:rPr>
          <w:rFonts w:ascii="Arial Narrow" w:hAnsi="Arial Narrow"/>
        </w:rPr>
        <w:t>faktid</w:t>
      </w:r>
      <w:r w:rsidR="00CD4F08" w:rsidRPr="00EC5781">
        <w:rPr>
          <w:rFonts w:ascii="Arial Narrow" w:hAnsi="Arial Narrow"/>
        </w:rPr>
        <w:t>.</w:t>
      </w:r>
    </w:p>
    <w:p w14:paraId="009C7C4B" w14:textId="77777777" w:rsidR="004A69AE" w:rsidRPr="00EE23D0" w:rsidRDefault="004A69AE" w:rsidP="004A69AE">
      <w:pPr>
        <w:pStyle w:val="Loendilik"/>
        <w:jc w:val="both"/>
        <w:rPr>
          <w:rFonts w:ascii="Arial Narrow" w:hAnsi="Arial Narrow"/>
        </w:rPr>
      </w:pPr>
    </w:p>
    <w:p w14:paraId="32F506C7" w14:textId="6779979B" w:rsidR="00C650E9" w:rsidRPr="00EC5781" w:rsidRDefault="00EC5781" w:rsidP="00EC5781">
      <w:pPr>
        <w:pStyle w:val="Loendilik"/>
        <w:numPr>
          <w:ilvl w:val="1"/>
          <w:numId w:val="32"/>
        </w:numPr>
        <w:jc w:val="both"/>
        <w:rPr>
          <w:rFonts w:ascii="Arial Narrow" w:hAnsi="Arial Narrow"/>
        </w:rPr>
      </w:pPr>
      <w:r>
        <w:rPr>
          <w:rFonts w:ascii="Arial Narrow" w:hAnsi="Arial Narrow"/>
          <w:b/>
        </w:rPr>
        <w:t>J</w:t>
      </w:r>
      <w:r w:rsidR="00D9300D" w:rsidRPr="00EC5781">
        <w:rPr>
          <w:rFonts w:ascii="Arial Narrow" w:hAnsi="Arial Narrow"/>
          <w:b/>
        </w:rPr>
        <w:t>ätkusuutlikkus ja potentsiaal</w:t>
      </w:r>
      <w:r w:rsidR="00D9300D" w:rsidRPr="00EC5781">
        <w:rPr>
          <w:rFonts w:ascii="Arial Narrow" w:hAnsi="Arial Narrow"/>
        </w:rPr>
        <w:t xml:space="preserve"> (</w:t>
      </w:r>
      <w:proofErr w:type="spellStart"/>
      <w:r w:rsidR="00D9300D" w:rsidRPr="00EC5781">
        <w:rPr>
          <w:rFonts w:ascii="Arial Narrow" w:hAnsi="Arial Narrow"/>
          <w:i/>
        </w:rPr>
        <w:t>Sustainability</w:t>
      </w:r>
      <w:proofErr w:type="spellEnd"/>
      <w:r w:rsidR="00D9300D" w:rsidRPr="00EC5781">
        <w:rPr>
          <w:rFonts w:ascii="Arial Narrow" w:hAnsi="Arial Narrow"/>
          <w:i/>
        </w:rPr>
        <w:t xml:space="preserve"> and </w:t>
      </w:r>
      <w:proofErr w:type="spellStart"/>
      <w:r w:rsidR="00D9300D" w:rsidRPr="00EC5781">
        <w:rPr>
          <w:rFonts w:ascii="Arial Narrow" w:hAnsi="Arial Narrow"/>
          <w:i/>
        </w:rPr>
        <w:t>Potential</w:t>
      </w:r>
      <w:proofErr w:type="spellEnd"/>
      <w:r w:rsidR="00D9300D" w:rsidRPr="00EC5781">
        <w:rPr>
          <w:rFonts w:ascii="Arial Narrow" w:hAnsi="Arial Narrow"/>
          <w:i/>
        </w:rPr>
        <w:t xml:space="preserve"> of </w:t>
      </w:r>
      <w:proofErr w:type="spellStart"/>
      <w:r w:rsidR="00D9300D" w:rsidRPr="00EC5781">
        <w:rPr>
          <w:rFonts w:ascii="Arial Narrow" w:hAnsi="Arial Narrow"/>
          <w:i/>
        </w:rPr>
        <w:t>Research</w:t>
      </w:r>
      <w:proofErr w:type="spellEnd"/>
      <w:r w:rsidR="00D9300D" w:rsidRPr="00EC5781">
        <w:rPr>
          <w:rFonts w:ascii="Arial Narrow" w:hAnsi="Arial Narrow"/>
        </w:rPr>
        <w:t xml:space="preserve">). </w:t>
      </w:r>
    </w:p>
    <w:p w14:paraId="290D5B71" w14:textId="48D23D5F" w:rsidR="008141FF" w:rsidRPr="00EE23D0" w:rsidRDefault="00D9300D" w:rsidP="00A428F1">
      <w:pPr>
        <w:jc w:val="both"/>
        <w:rPr>
          <w:rFonts w:ascii="Arial Narrow" w:hAnsi="Arial Narrow"/>
        </w:rPr>
      </w:pPr>
      <w:r w:rsidRPr="00EE23D0">
        <w:rPr>
          <w:rFonts w:ascii="Arial Narrow" w:hAnsi="Arial Narrow"/>
        </w:rPr>
        <w:t xml:space="preserve">Jätkusuutlikkusena käsitletakse asutuse võimekust tagada vastavas valdkonnas TA piisaval tasemel </w:t>
      </w:r>
      <w:proofErr w:type="spellStart"/>
      <w:r w:rsidRPr="00EE23D0">
        <w:rPr>
          <w:rFonts w:ascii="Arial Narrow" w:hAnsi="Arial Narrow"/>
        </w:rPr>
        <w:t>keskpikas</w:t>
      </w:r>
      <w:proofErr w:type="spellEnd"/>
      <w:r w:rsidRPr="00EE23D0">
        <w:rPr>
          <w:rFonts w:ascii="Arial Narrow" w:hAnsi="Arial Narrow"/>
        </w:rPr>
        <w:t xml:space="preserve"> perspektiivis. Jätkusuutlikkuse hindamise fookuses on ennekõike </w:t>
      </w:r>
      <w:proofErr w:type="spellStart"/>
      <w:r w:rsidRPr="00EE23D0">
        <w:rPr>
          <w:rFonts w:ascii="Arial Narrow" w:hAnsi="Arial Narrow"/>
        </w:rPr>
        <w:t>inim</w:t>
      </w:r>
      <w:proofErr w:type="spellEnd"/>
      <w:r w:rsidRPr="00EE23D0">
        <w:rPr>
          <w:rFonts w:ascii="Arial Narrow" w:hAnsi="Arial Narrow"/>
        </w:rPr>
        <w:t>- ja raharessurss (sh teadlaste järelkasv</w:t>
      </w:r>
      <w:r w:rsidR="00265905">
        <w:rPr>
          <w:rFonts w:ascii="Arial Narrow" w:hAnsi="Arial Narrow"/>
        </w:rPr>
        <w:t>u</w:t>
      </w:r>
      <w:r w:rsidR="00A44FB4" w:rsidRPr="00EE23D0">
        <w:rPr>
          <w:rFonts w:ascii="Arial Narrow" w:hAnsi="Arial Narrow"/>
        </w:rPr>
        <w:t xml:space="preserve"> ning sooliselt</w:t>
      </w:r>
      <w:r w:rsidR="004A69AE" w:rsidRPr="00EE23D0">
        <w:rPr>
          <w:rFonts w:ascii="Arial Narrow" w:hAnsi="Arial Narrow"/>
        </w:rPr>
        <w:t xml:space="preserve">, vanuseliselt jne </w:t>
      </w:r>
      <w:r w:rsidR="00A44FB4" w:rsidRPr="00EE23D0">
        <w:rPr>
          <w:rFonts w:ascii="Arial Narrow" w:hAnsi="Arial Narrow"/>
        </w:rPr>
        <w:t>võrdsete võimaluste tagamine</w:t>
      </w:r>
      <w:r w:rsidRPr="00EE23D0">
        <w:rPr>
          <w:rFonts w:ascii="Arial Narrow" w:hAnsi="Arial Narrow"/>
        </w:rPr>
        <w:t xml:space="preserve">). </w:t>
      </w:r>
      <w:r w:rsidR="000B3821">
        <w:rPr>
          <w:rFonts w:ascii="Arial Narrow" w:hAnsi="Arial Narrow"/>
        </w:rPr>
        <w:t xml:space="preserve">Valdkonna jätkusuutlikkuse ja potentsiaali kriteeriumi all vaadeldakse ülikoolide puhul ka TA seost doktoriõppega. </w:t>
      </w:r>
      <w:r w:rsidR="0026664A" w:rsidRPr="00EE23D0">
        <w:rPr>
          <w:rFonts w:ascii="Arial Narrow" w:hAnsi="Arial Narrow"/>
        </w:rPr>
        <w:t>Jätkusuutlikkus</w:t>
      </w:r>
      <w:r w:rsidR="00265905">
        <w:rPr>
          <w:rFonts w:ascii="Arial Narrow" w:hAnsi="Arial Narrow"/>
        </w:rPr>
        <w:t>e</w:t>
      </w:r>
      <w:r w:rsidR="0026664A" w:rsidRPr="00EE23D0">
        <w:rPr>
          <w:rFonts w:ascii="Arial Narrow" w:hAnsi="Arial Narrow"/>
        </w:rPr>
        <w:t xml:space="preserve"> </w:t>
      </w:r>
      <w:r w:rsidR="005C0F41">
        <w:rPr>
          <w:rFonts w:ascii="Arial Narrow" w:hAnsi="Arial Narrow"/>
        </w:rPr>
        <w:t>hindamisel</w:t>
      </w:r>
      <w:r w:rsidR="0026664A" w:rsidRPr="00EE23D0">
        <w:rPr>
          <w:rFonts w:ascii="Arial Narrow" w:hAnsi="Arial Narrow"/>
        </w:rPr>
        <w:t xml:space="preserve"> võib arvesse võtta juba </w:t>
      </w:r>
      <w:r w:rsidR="00CE1164">
        <w:rPr>
          <w:rFonts w:ascii="Arial Narrow" w:hAnsi="Arial Narrow"/>
        </w:rPr>
        <w:t xml:space="preserve">olemasolevaid </w:t>
      </w:r>
      <w:r w:rsidR="0026664A" w:rsidRPr="00EE23D0">
        <w:rPr>
          <w:rFonts w:ascii="Arial Narrow" w:hAnsi="Arial Narrow"/>
        </w:rPr>
        <w:t xml:space="preserve">ja/või suure tõenäosusega tulevikus avanevaid </w:t>
      </w:r>
      <w:r w:rsidR="008141FF" w:rsidRPr="00EE23D0">
        <w:rPr>
          <w:rFonts w:ascii="Arial Narrow" w:hAnsi="Arial Narrow"/>
        </w:rPr>
        <w:t xml:space="preserve">ressursse. </w:t>
      </w:r>
      <w:r w:rsidR="0026664A" w:rsidRPr="00EE23D0">
        <w:rPr>
          <w:rFonts w:ascii="Arial Narrow" w:hAnsi="Arial Narrow"/>
        </w:rPr>
        <w:t xml:space="preserve"> </w:t>
      </w:r>
    </w:p>
    <w:p w14:paraId="23AFE17F" w14:textId="77777777" w:rsidR="00B72313" w:rsidRDefault="00D9300D" w:rsidP="00A428F1">
      <w:pPr>
        <w:jc w:val="both"/>
        <w:rPr>
          <w:rFonts w:ascii="Arial Narrow" w:hAnsi="Arial Narrow"/>
        </w:rPr>
      </w:pPr>
      <w:r w:rsidRPr="00EE23D0">
        <w:rPr>
          <w:rFonts w:ascii="Arial Narrow" w:hAnsi="Arial Narrow"/>
        </w:rPr>
        <w:t>Potentsiaali all</w:t>
      </w:r>
      <w:r w:rsidR="00FC10D3" w:rsidRPr="00EE23D0">
        <w:rPr>
          <w:rFonts w:ascii="Arial Narrow" w:hAnsi="Arial Narrow"/>
        </w:rPr>
        <w:t xml:space="preserve"> mõistetakse veel välja arendamata või kasutamata ressursse ja võimalusi, mis võivad olla nii asutusesisesed kui -välised</w:t>
      </w:r>
      <w:r w:rsidR="000955BE" w:rsidRPr="00EE23D0">
        <w:rPr>
          <w:rFonts w:ascii="Arial Narrow" w:hAnsi="Arial Narrow"/>
        </w:rPr>
        <w:t xml:space="preserve">, samuti kas juba tajutud </w:t>
      </w:r>
      <w:r w:rsidR="008141FF" w:rsidRPr="00EE23D0">
        <w:rPr>
          <w:rFonts w:ascii="Arial Narrow" w:hAnsi="Arial Narrow"/>
        </w:rPr>
        <w:t>ja sõnastatud (</w:t>
      </w:r>
      <w:proofErr w:type="spellStart"/>
      <w:r w:rsidR="008141FF" w:rsidRPr="00EE23D0">
        <w:rPr>
          <w:rFonts w:ascii="Arial Narrow" w:hAnsi="Arial Narrow"/>
        </w:rPr>
        <w:t>eksplitsiitsed</w:t>
      </w:r>
      <w:proofErr w:type="spellEnd"/>
      <w:r w:rsidR="008141FF" w:rsidRPr="00EE23D0">
        <w:rPr>
          <w:rFonts w:ascii="Arial Narrow" w:hAnsi="Arial Narrow"/>
        </w:rPr>
        <w:t xml:space="preserve">) </w:t>
      </w:r>
      <w:r w:rsidR="000955BE" w:rsidRPr="00EE23D0">
        <w:rPr>
          <w:rFonts w:ascii="Arial Narrow" w:hAnsi="Arial Narrow"/>
        </w:rPr>
        <w:t>või veel tajumata</w:t>
      </w:r>
      <w:r w:rsidR="008141FF" w:rsidRPr="00EE23D0">
        <w:rPr>
          <w:rFonts w:ascii="Arial Narrow" w:hAnsi="Arial Narrow"/>
        </w:rPr>
        <w:t xml:space="preserve"> ja selgelt sõnastamata (</w:t>
      </w:r>
      <w:proofErr w:type="spellStart"/>
      <w:r w:rsidR="008141FF" w:rsidRPr="00EE23D0">
        <w:rPr>
          <w:rFonts w:ascii="Arial Narrow" w:hAnsi="Arial Narrow"/>
        </w:rPr>
        <w:t>implitsiitsed</w:t>
      </w:r>
      <w:proofErr w:type="spellEnd"/>
      <w:r w:rsidR="008141FF" w:rsidRPr="00EE23D0">
        <w:rPr>
          <w:rFonts w:ascii="Arial Narrow" w:hAnsi="Arial Narrow"/>
        </w:rPr>
        <w:t>)</w:t>
      </w:r>
      <w:r w:rsidR="00FC10D3" w:rsidRPr="00EE23D0">
        <w:rPr>
          <w:rFonts w:ascii="Arial Narrow" w:hAnsi="Arial Narrow"/>
        </w:rPr>
        <w:t>. Siia alla</w:t>
      </w:r>
      <w:r w:rsidRPr="00EE23D0">
        <w:rPr>
          <w:rFonts w:ascii="Arial Narrow" w:hAnsi="Arial Narrow"/>
        </w:rPr>
        <w:t xml:space="preserve"> kuuluvad n</w:t>
      </w:r>
      <w:r w:rsidR="00FC10D3" w:rsidRPr="00EE23D0">
        <w:rPr>
          <w:rFonts w:ascii="Arial Narrow" w:hAnsi="Arial Narrow"/>
        </w:rPr>
        <w:t>äiteks</w:t>
      </w:r>
      <w:r w:rsidRPr="00EE23D0">
        <w:rPr>
          <w:rFonts w:ascii="Arial Narrow" w:hAnsi="Arial Narrow"/>
        </w:rPr>
        <w:t xml:space="preserve"> uued uurimissuunad, inter- ja </w:t>
      </w:r>
      <w:proofErr w:type="spellStart"/>
      <w:r w:rsidRPr="00EE23D0">
        <w:rPr>
          <w:rFonts w:ascii="Arial Narrow" w:hAnsi="Arial Narrow"/>
        </w:rPr>
        <w:t>transdistsiplinaarsed</w:t>
      </w:r>
      <w:proofErr w:type="spellEnd"/>
      <w:r w:rsidRPr="00EE23D0">
        <w:rPr>
          <w:rFonts w:ascii="Arial Narrow" w:hAnsi="Arial Narrow"/>
        </w:rPr>
        <w:t xml:space="preserve"> läbimurded, avastused</w:t>
      </w:r>
      <w:r w:rsidR="00714421" w:rsidRPr="00EE23D0">
        <w:rPr>
          <w:rFonts w:ascii="Arial Narrow" w:hAnsi="Arial Narrow"/>
        </w:rPr>
        <w:t>, valdkonna arenguprognoosid</w:t>
      </w:r>
      <w:r w:rsidR="006C1551">
        <w:rPr>
          <w:rFonts w:ascii="Arial Narrow" w:hAnsi="Arial Narrow"/>
        </w:rPr>
        <w:t>,</w:t>
      </w:r>
      <w:r w:rsidR="008141FF" w:rsidRPr="00EE23D0">
        <w:rPr>
          <w:rFonts w:ascii="Arial Narrow" w:hAnsi="Arial Narrow"/>
        </w:rPr>
        <w:t xml:space="preserve"> </w:t>
      </w:r>
      <w:r w:rsidR="006C1551">
        <w:rPr>
          <w:rFonts w:ascii="Arial Narrow" w:hAnsi="Arial Narrow"/>
        </w:rPr>
        <w:t xml:space="preserve">roll </w:t>
      </w:r>
      <w:r w:rsidR="008141FF" w:rsidRPr="00EE23D0">
        <w:rPr>
          <w:rFonts w:ascii="Arial Narrow" w:hAnsi="Arial Narrow"/>
        </w:rPr>
        <w:t>riiklikult olulisena määratletud valdkondades</w:t>
      </w:r>
      <w:r w:rsidR="0068435E" w:rsidRPr="00EE23D0">
        <w:rPr>
          <w:rFonts w:ascii="Arial Narrow" w:hAnsi="Arial Narrow"/>
        </w:rPr>
        <w:t>, teadmussiirde võimalused ettevõtluses</w:t>
      </w:r>
      <w:r w:rsidR="008141FF" w:rsidRPr="00EE23D0">
        <w:rPr>
          <w:rFonts w:ascii="Arial Narrow" w:hAnsi="Arial Narrow"/>
        </w:rPr>
        <w:t xml:space="preserve"> </w:t>
      </w:r>
      <w:r w:rsidRPr="00EE23D0">
        <w:rPr>
          <w:rFonts w:ascii="Arial Narrow" w:hAnsi="Arial Narrow"/>
        </w:rPr>
        <w:t xml:space="preserve">jms. </w:t>
      </w:r>
      <w:r w:rsidR="006F7F20" w:rsidRPr="00EE23D0">
        <w:rPr>
          <w:rFonts w:ascii="Arial Narrow" w:hAnsi="Arial Narrow"/>
        </w:rPr>
        <w:t>K</w:t>
      </w:r>
      <w:r w:rsidRPr="00EE23D0">
        <w:rPr>
          <w:rFonts w:ascii="Arial Narrow" w:hAnsi="Arial Narrow"/>
        </w:rPr>
        <w:t xml:space="preserve">ui </w:t>
      </w:r>
      <w:r w:rsidR="008141FF" w:rsidRPr="00EE23D0">
        <w:rPr>
          <w:rFonts w:ascii="Arial Narrow" w:hAnsi="Arial Narrow"/>
        </w:rPr>
        <w:t xml:space="preserve">ühiskondliku mõjukuse </w:t>
      </w:r>
      <w:r w:rsidRPr="00EE23D0">
        <w:rPr>
          <w:rFonts w:ascii="Arial Narrow" w:hAnsi="Arial Narrow"/>
        </w:rPr>
        <w:t>all (vt järgmi</w:t>
      </w:r>
      <w:r w:rsidR="004A4E7F">
        <w:rPr>
          <w:rFonts w:ascii="Arial Narrow" w:hAnsi="Arial Narrow"/>
        </w:rPr>
        <w:t>ne kriteerium</w:t>
      </w:r>
      <w:r w:rsidRPr="00EE23D0">
        <w:rPr>
          <w:rFonts w:ascii="Arial Narrow" w:hAnsi="Arial Narrow"/>
        </w:rPr>
        <w:t>) käsitletakse juba tuvastatud/määratletud probleemidega tegelemist, siis potentsiaali puhul on tegu eelkõige ootamatute seoste, juhuslike arengute ja avaldumata võimaluste „tunnetamisega“</w:t>
      </w:r>
      <w:r w:rsidR="000955BE" w:rsidRPr="00EE23D0">
        <w:rPr>
          <w:rFonts w:ascii="Arial Narrow" w:hAnsi="Arial Narrow"/>
        </w:rPr>
        <w:t xml:space="preserve">, sh märkamisega n-ö välise pilguga </w:t>
      </w:r>
      <w:r w:rsidR="008141FF" w:rsidRPr="00EE23D0">
        <w:rPr>
          <w:rFonts w:ascii="Arial Narrow" w:hAnsi="Arial Narrow"/>
        </w:rPr>
        <w:t xml:space="preserve">ka </w:t>
      </w:r>
      <w:proofErr w:type="spellStart"/>
      <w:r w:rsidR="000955BE" w:rsidRPr="00EE23D0">
        <w:rPr>
          <w:rFonts w:ascii="Arial Narrow" w:hAnsi="Arial Narrow"/>
        </w:rPr>
        <w:t>evalveerijate</w:t>
      </w:r>
      <w:proofErr w:type="spellEnd"/>
      <w:r w:rsidR="000955BE" w:rsidRPr="00EE23D0">
        <w:rPr>
          <w:rFonts w:ascii="Arial Narrow" w:hAnsi="Arial Narrow"/>
        </w:rPr>
        <w:t xml:space="preserve"> poolt</w:t>
      </w:r>
      <w:r w:rsidRPr="00EE23D0">
        <w:rPr>
          <w:rFonts w:ascii="Arial Narrow" w:hAnsi="Arial Narrow"/>
        </w:rPr>
        <w:t xml:space="preserve">. </w:t>
      </w:r>
    </w:p>
    <w:p w14:paraId="1294FFFD" w14:textId="1E471A82" w:rsidR="00D9300D" w:rsidRDefault="00714421" w:rsidP="00A428F1">
      <w:pPr>
        <w:jc w:val="both"/>
        <w:rPr>
          <w:rFonts w:ascii="Arial Narrow" w:hAnsi="Arial Narrow"/>
        </w:rPr>
      </w:pPr>
      <w:r w:rsidRPr="00EE23D0">
        <w:rPr>
          <w:rFonts w:ascii="Arial Narrow" w:hAnsi="Arial Narrow"/>
        </w:rPr>
        <w:t>Jätkusuutlikkust ja potentsiaali vaadeldakse koos, tugevdamaks rõhuasetust ressursside ja arenguperspektiivide seostatusele</w:t>
      </w:r>
      <w:r w:rsidR="0014009F">
        <w:rPr>
          <w:rFonts w:ascii="Arial Narrow" w:hAnsi="Arial Narrow"/>
        </w:rPr>
        <w:t>.</w:t>
      </w:r>
      <w:r w:rsidR="00DE69D6" w:rsidRPr="00EE23D0">
        <w:rPr>
          <w:rFonts w:ascii="Arial Narrow" w:hAnsi="Arial Narrow"/>
        </w:rPr>
        <w:t xml:space="preserve"> </w:t>
      </w:r>
      <w:r w:rsidR="0014009F">
        <w:rPr>
          <w:rFonts w:ascii="Arial Narrow" w:hAnsi="Arial Narrow"/>
        </w:rPr>
        <w:t>S</w:t>
      </w:r>
      <w:r w:rsidR="006F7F20" w:rsidRPr="00EE23D0">
        <w:rPr>
          <w:rFonts w:ascii="Arial Narrow" w:hAnsi="Arial Narrow"/>
        </w:rPr>
        <w:t>ellepärast</w:t>
      </w:r>
      <w:r w:rsidR="00DE69D6" w:rsidRPr="00EE23D0">
        <w:rPr>
          <w:rFonts w:ascii="Arial Narrow" w:hAnsi="Arial Narrow"/>
        </w:rPr>
        <w:t xml:space="preserve"> kirjeldatakse potentsiaali ressursside, inimeste ja arenguperspektiivide lõikes</w:t>
      </w:r>
      <w:r w:rsidRPr="00EE23D0">
        <w:rPr>
          <w:rFonts w:ascii="Arial Narrow" w:hAnsi="Arial Narrow"/>
        </w:rPr>
        <w:t>.</w:t>
      </w:r>
      <w:r w:rsidR="008141FF" w:rsidRPr="00EE23D0">
        <w:rPr>
          <w:rFonts w:ascii="Arial Narrow" w:hAnsi="Arial Narrow"/>
        </w:rPr>
        <w:t xml:space="preserve"> </w:t>
      </w:r>
      <w:r w:rsidR="00DE69D6" w:rsidRPr="00EE23D0">
        <w:rPr>
          <w:rFonts w:ascii="Arial Narrow" w:hAnsi="Arial Narrow"/>
        </w:rPr>
        <w:t xml:space="preserve">Näiteks </w:t>
      </w:r>
      <w:r w:rsidR="00C228F3">
        <w:rPr>
          <w:rFonts w:ascii="Arial Narrow" w:hAnsi="Arial Narrow"/>
        </w:rPr>
        <w:t xml:space="preserve">mõni </w:t>
      </w:r>
      <w:r w:rsidR="00DE69D6" w:rsidRPr="00EE23D0">
        <w:rPr>
          <w:rFonts w:ascii="Arial Narrow" w:hAnsi="Arial Narrow"/>
        </w:rPr>
        <w:t>s</w:t>
      </w:r>
      <w:r w:rsidR="008141FF" w:rsidRPr="00EE23D0">
        <w:rPr>
          <w:rFonts w:ascii="Arial Narrow" w:hAnsi="Arial Narrow"/>
        </w:rPr>
        <w:t xml:space="preserve">eni piisava </w:t>
      </w:r>
      <w:proofErr w:type="spellStart"/>
      <w:r w:rsidR="008141FF" w:rsidRPr="00EE23D0">
        <w:rPr>
          <w:rFonts w:ascii="Arial Narrow" w:hAnsi="Arial Narrow"/>
        </w:rPr>
        <w:t>rahastusega</w:t>
      </w:r>
      <w:proofErr w:type="spellEnd"/>
      <w:r w:rsidR="008141FF" w:rsidRPr="00EE23D0">
        <w:rPr>
          <w:rFonts w:ascii="Arial Narrow" w:hAnsi="Arial Narrow"/>
        </w:rPr>
        <w:t xml:space="preserve"> uurimissuund võib olla küll jätkusuutlik, ent tuleviku perspektiivis on selle arenguvõimalused senisel kujul jätkamiseks ammendunud, sest teaduse arengu tõttu on vajalik rõhuasetuste</w:t>
      </w:r>
      <w:r w:rsidR="0014009F">
        <w:rPr>
          <w:rFonts w:ascii="Arial Narrow" w:hAnsi="Arial Narrow"/>
        </w:rPr>
        <w:t xml:space="preserve"> muutmine</w:t>
      </w:r>
      <w:r w:rsidR="008141FF" w:rsidRPr="00EE23D0">
        <w:rPr>
          <w:rFonts w:ascii="Arial Narrow" w:hAnsi="Arial Narrow"/>
        </w:rPr>
        <w:t xml:space="preserve"> </w:t>
      </w:r>
      <w:r w:rsidR="005C0F41" w:rsidRPr="00EE23D0">
        <w:rPr>
          <w:rFonts w:ascii="Arial Narrow" w:hAnsi="Arial Narrow"/>
        </w:rPr>
        <w:t>(interdistsiplinaar</w:t>
      </w:r>
      <w:r w:rsidR="0014009F">
        <w:rPr>
          <w:rFonts w:ascii="Arial Narrow" w:hAnsi="Arial Narrow"/>
        </w:rPr>
        <w:t>s</w:t>
      </w:r>
      <w:r w:rsidR="005C0F41" w:rsidRPr="00EE23D0">
        <w:rPr>
          <w:rFonts w:ascii="Arial Narrow" w:hAnsi="Arial Narrow"/>
        </w:rPr>
        <w:t>e koostöö</w:t>
      </w:r>
      <w:r w:rsidR="0014009F">
        <w:rPr>
          <w:rFonts w:ascii="Arial Narrow" w:hAnsi="Arial Narrow"/>
        </w:rPr>
        <w:t xml:space="preserve"> suurendamine</w:t>
      </w:r>
      <w:r w:rsidR="005C0F41" w:rsidRPr="00EE23D0">
        <w:rPr>
          <w:rFonts w:ascii="Arial Narrow" w:hAnsi="Arial Narrow"/>
        </w:rPr>
        <w:t>, uuenduslik</w:t>
      </w:r>
      <w:r w:rsidR="0014009F">
        <w:rPr>
          <w:rFonts w:ascii="Arial Narrow" w:hAnsi="Arial Narrow"/>
        </w:rPr>
        <w:t>e</w:t>
      </w:r>
      <w:r w:rsidR="005C0F41" w:rsidRPr="00EE23D0">
        <w:rPr>
          <w:rFonts w:ascii="Arial Narrow" w:hAnsi="Arial Narrow"/>
        </w:rPr>
        <w:t xml:space="preserve"> meetodi</w:t>
      </w:r>
      <w:r w:rsidR="0014009F">
        <w:rPr>
          <w:rFonts w:ascii="Arial Narrow" w:hAnsi="Arial Narrow"/>
        </w:rPr>
        <w:t>te kasutuselevõtt</w:t>
      </w:r>
      <w:r w:rsidR="005C0F41" w:rsidRPr="00EE23D0">
        <w:rPr>
          <w:rFonts w:ascii="Arial Narrow" w:hAnsi="Arial Narrow"/>
        </w:rPr>
        <w:t xml:space="preserve">, teadusaparatuuri </w:t>
      </w:r>
      <w:r w:rsidR="0014009F">
        <w:rPr>
          <w:rFonts w:ascii="Arial Narrow" w:hAnsi="Arial Narrow"/>
        </w:rPr>
        <w:t>uuendamine</w:t>
      </w:r>
      <w:r w:rsidR="005C0F41" w:rsidRPr="00EE23D0">
        <w:rPr>
          <w:rFonts w:ascii="Arial Narrow" w:hAnsi="Arial Narrow"/>
        </w:rPr>
        <w:t xml:space="preserve">, </w:t>
      </w:r>
      <w:r w:rsidR="0014009F">
        <w:rPr>
          <w:rFonts w:ascii="Arial Narrow" w:hAnsi="Arial Narrow"/>
        </w:rPr>
        <w:t xml:space="preserve">suunitlus </w:t>
      </w:r>
      <w:r w:rsidR="005C0F41" w:rsidRPr="00EE23D0">
        <w:rPr>
          <w:rFonts w:ascii="Arial Narrow" w:hAnsi="Arial Narrow"/>
        </w:rPr>
        <w:t>teadmussiirde</w:t>
      </w:r>
      <w:r w:rsidR="00B72313">
        <w:rPr>
          <w:rFonts w:ascii="Arial Narrow" w:hAnsi="Arial Narrow"/>
        </w:rPr>
        <w:t xml:space="preserve"> tugevdamise</w:t>
      </w:r>
      <w:r w:rsidR="0014009F">
        <w:rPr>
          <w:rFonts w:ascii="Arial Narrow" w:hAnsi="Arial Narrow"/>
        </w:rPr>
        <w:t>le</w:t>
      </w:r>
      <w:r w:rsidR="005C0F41" w:rsidRPr="00EE23D0">
        <w:rPr>
          <w:rFonts w:ascii="Arial Narrow" w:hAnsi="Arial Narrow"/>
        </w:rPr>
        <w:t xml:space="preserve"> jms)</w:t>
      </w:r>
      <w:r w:rsidR="008141FF" w:rsidRPr="00EE23D0">
        <w:rPr>
          <w:rFonts w:ascii="Arial Narrow" w:hAnsi="Arial Narrow"/>
        </w:rPr>
        <w:t xml:space="preserve">. </w:t>
      </w:r>
      <w:r w:rsidR="00DE69D6" w:rsidRPr="00EE23D0">
        <w:rPr>
          <w:rFonts w:ascii="Arial Narrow" w:hAnsi="Arial Narrow"/>
        </w:rPr>
        <w:t xml:space="preserve">Teisel uurimissuunal võib olla küll teaduslikust perspektiivist potentsiaali, ent ressursside ja inimeste ebapiisavus asutuses ei võimalda seda potentsiaali välja arendada. </w:t>
      </w:r>
    </w:p>
    <w:p w14:paraId="7E4A463E" w14:textId="77777777" w:rsidR="00EC5781" w:rsidRPr="00EC5781" w:rsidRDefault="00F24AE2" w:rsidP="00EC5781">
      <w:pPr>
        <w:jc w:val="both"/>
        <w:rPr>
          <w:rFonts w:ascii="Arial Narrow" w:hAnsi="Arial Narrow"/>
        </w:rPr>
      </w:pPr>
      <w:r w:rsidRPr="00EC5781">
        <w:rPr>
          <w:rFonts w:ascii="Arial Narrow" w:hAnsi="Arial Narrow"/>
        </w:rPr>
        <w:t>J</w:t>
      </w:r>
      <w:r w:rsidR="00D9300D" w:rsidRPr="00EC5781">
        <w:rPr>
          <w:rFonts w:ascii="Arial Narrow" w:hAnsi="Arial Narrow"/>
        </w:rPr>
        <w:t>ätkusuutlikkuse ja potentsiaali indikaatorid</w:t>
      </w:r>
      <w:r w:rsidRPr="00EC5781">
        <w:rPr>
          <w:rFonts w:ascii="Arial Narrow" w:hAnsi="Arial Narrow"/>
        </w:rPr>
        <w:t xml:space="preserve"> on</w:t>
      </w:r>
      <w:r w:rsidR="005E3240" w:rsidRPr="00EC5781">
        <w:rPr>
          <w:rFonts w:ascii="Arial Narrow" w:hAnsi="Arial Narrow"/>
        </w:rPr>
        <w:t>:</w:t>
      </w:r>
    </w:p>
    <w:p w14:paraId="10A2D25A" w14:textId="77777777" w:rsidR="00EC5781" w:rsidRDefault="00714421" w:rsidP="00EC5781">
      <w:pPr>
        <w:pStyle w:val="Loendilik"/>
        <w:numPr>
          <w:ilvl w:val="2"/>
          <w:numId w:val="32"/>
        </w:numPr>
        <w:jc w:val="both"/>
        <w:rPr>
          <w:rFonts w:ascii="Arial Narrow" w:hAnsi="Arial Narrow"/>
        </w:rPr>
      </w:pPr>
      <w:r w:rsidRPr="00EC5781">
        <w:rPr>
          <w:rFonts w:ascii="Arial Narrow" w:hAnsi="Arial Narrow"/>
        </w:rPr>
        <w:t xml:space="preserve">TA-töötajate </w:t>
      </w:r>
      <w:r w:rsidR="005C0F41" w:rsidRPr="00EC5781">
        <w:rPr>
          <w:rFonts w:ascii="Arial Narrow" w:hAnsi="Arial Narrow"/>
        </w:rPr>
        <w:t>koosseis</w:t>
      </w:r>
      <w:r w:rsidR="00CD4F08" w:rsidRPr="00EC5781">
        <w:rPr>
          <w:rFonts w:ascii="Arial Narrow" w:hAnsi="Arial Narrow"/>
        </w:rPr>
        <w:t>;</w:t>
      </w:r>
    </w:p>
    <w:p w14:paraId="24FED101" w14:textId="77777777" w:rsidR="00EC5781" w:rsidRDefault="000B520F" w:rsidP="00EC5781">
      <w:pPr>
        <w:pStyle w:val="Loendilik"/>
        <w:numPr>
          <w:ilvl w:val="2"/>
          <w:numId w:val="32"/>
        </w:numPr>
        <w:jc w:val="both"/>
        <w:rPr>
          <w:rFonts w:ascii="Arial Narrow" w:hAnsi="Arial Narrow"/>
        </w:rPr>
      </w:pPr>
      <w:r w:rsidRPr="00EC5781">
        <w:rPr>
          <w:rFonts w:ascii="Arial Narrow" w:hAnsi="Arial Narrow"/>
        </w:rPr>
        <w:t>Doktoriõpp</w:t>
      </w:r>
      <w:r w:rsidR="00714421" w:rsidRPr="00EC5781">
        <w:rPr>
          <w:rFonts w:ascii="Arial Narrow" w:hAnsi="Arial Narrow"/>
        </w:rPr>
        <w:t xml:space="preserve">e üliõpilaste (doktorantide) ja </w:t>
      </w:r>
      <w:r w:rsidRPr="00EC5781">
        <w:rPr>
          <w:rFonts w:ascii="Arial Narrow" w:hAnsi="Arial Narrow"/>
        </w:rPr>
        <w:t>lõpetajate arv</w:t>
      </w:r>
      <w:r w:rsidR="00CD4F08" w:rsidRPr="00EC5781">
        <w:rPr>
          <w:rFonts w:ascii="Arial Narrow" w:hAnsi="Arial Narrow"/>
        </w:rPr>
        <w:t>;</w:t>
      </w:r>
    </w:p>
    <w:p w14:paraId="366A4AEB" w14:textId="77777777" w:rsidR="00EC5781" w:rsidRDefault="000B520F" w:rsidP="00EC5781">
      <w:pPr>
        <w:pStyle w:val="Loendilik"/>
        <w:numPr>
          <w:ilvl w:val="2"/>
          <w:numId w:val="32"/>
        </w:numPr>
        <w:jc w:val="both"/>
        <w:rPr>
          <w:rFonts w:ascii="Arial Narrow" w:hAnsi="Arial Narrow"/>
        </w:rPr>
      </w:pPr>
      <w:r w:rsidRPr="00EC5781">
        <w:rPr>
          <w:rFonts w:ascii="Arial Narrow" w:hAnsi="Arial Narrow"/>
        </w:rPr>
        <w:t xml:space="preserve">TA-tulude </w:t>
      </w:r>
      <w:r w:rsidR="00714421" w:rsidRPr="00EC5781">
        <w:rPr>
          <w:rFonts w:ascii="Arial Narrow" w:hAnsi="Arial Narrow"/>
        </w:rPr>
        <w:t xml:space="preserve">maht ja </w:t>
      </w:r>
      <w:r w:rsidRPr="00EC5781">
        <w:rPr>
          <w:rFonts w:ascii="Arial Narrow" w:hAnsi="Arial Narrow"/>
        </w:rPr>
        <w:t>struktuur</w:t>
      </w:r>
      <w:r w:rsidR="00CD4F08" w:rsidRPr="00EC5781">
        <w:rPr>
          <w:rFonts w:ascii="Arial Narrow" w:hAnsi="Arial Narrow"/>
        </w:rPr>
        <w:t>;</w:t>
      </w:r>
    </w:p>
    <w:p w14:paraId="2C992A37" w14:textId="77777777" w:rsidR="00EC5781" w:rsidRDefault="00714421" w:rsidP="00EC5781">
      <w:pPr>
        <w:pStyle w:val="Loendilik"/>
        <w:numPr>
          <w:ilvl w:val="2"/>
          <w:numId w:val="32"/>
        </w:numPr>
        <w:jc w:val="both"/>
        <w:rPr>
          <w:rFonts w:ascii="Arial Narrow" w:hAnsi="Arial Narrow"/>
        </w:rPr>
      </w:pPr>
      <w:r w:rsidRPr="00EC5781">
        <w:rPr>
          <w:rFonts w:ascii="Arial Narrow" w:hAnsi="Arial Narrow"/>
        </w:rPr>
        <w:t>Taristu</w:t>
      </w:r>
      <w:r w:rsidR="00A1359D" w:rsidRPr="00EC5781">
        <w:rPr>
          <w:rFonts w:ascii="Arial Narrow" w:hAnsi="Arial Narrow"/>
        </w:rPr>
        <w:t xml:space="preserve"> piisavus ja seisund</w:t>
      </w:r>
      <w:r w:rsidR="00CD4F08" w:rsidRPr="00EC5781">
        <w:rPr>
          <w:rFonts w:ascii="Arial Narrow" w:hAnsi="Arial Narrow"/>
        </w:rPr>
        <w:t>;</w:t>
      </w:r>
    </w:p>
    <w:p w14:paraId="475703A3" w14:textId="448940ED" w:rsidR="00EC5781" w:rsidRDefault="00A1359D" w:rsidP="00EC5781">
      <w:pPr>
        <w:pStyle w:val="Loendilik"/>
        <w:numPr>
          <w:ilvl w:val="2"/>
          <w:numId w:val="32"/>
        </w:numPr>
        <w:jc w:val="both"/>
        <w:rPr>
          <w:rFonts w:ascii="Arial Narrow" w:hAnsi="Arial Narrow"/>
        </w:rPr>
      </w:pPr>
      <w:r w:rsidRPr="00EC5781">
        <w:rPr>
          <w:rFonts w:ascii="Arial Narrow" w:hAnsi="Arial Narrow"/>
        </w:rPr>
        <w:t>TA-ga seotud k</w:t>
      </w:r>
      <w:r w:rsidR="00CD4F08" w:rsidRPr="00EC5781">
        <w:rPr>
          <w:rFonts w:ascii="Arial Narrow" w:hAnsi="Arial Narrow"/>
        </w:rPr>
        <w:t>ogud ja kollektsioonid;</w:t>
      </w:r>
    </w:p>
    <w:p w14:paraId="530B7754" w14:textId="608C8EA6" w:rsidR="00D9300D" w:rsidRPr="00EC5781" w:rsidRDefault="000B520F" w:rsidP="00EC5781">
      <w:pPr>
        <w:pStyle w:val="Loendilik"/>
        <w:numPr>
          <w:ilvl w:val="2"/>
          <w:numId w:val="32"/>
        </w:numPr>
        <w:jc w:val="both"/>
        <w:rPr>
          <w:rFonts w:ascii="Arial Narrow" w:hAnsi="Arial Narrow"/>
        </w:rPr>
      </w:pPr>
      <w:r w:rsidRPr="00EC5781">
        <w:rPr>
          <w:rFonts w:ascii="Arial Narrow" w:hAnsi="Arial Narrow"/>
        </w:rPr>
        <w:t xml:space="preserve">Asutuse </w:t>
      </w:r>
      <w:r w:rsidR="00714421" w:rsidRPr="00EC5781">
        <w:rPr>
          <w:rFonts w:ascii="Arial Narrow" w:hAnsi="Arial Narrow"/>
        </w:rPr>
        <w:t xml:space="preserve">hinnangul </w:t>
      </w:r>
      <w:r w:rsidR="00ED00F3" w:rsidRPr="00EC5781">
        <w:rPr>
          <w:rFonts w:ascii="Arial Narrow" w:hAnsi="Arial Narrow"/>
        </w:rPr>
        <w:t xml:space="preserve">olulisimad </w:t>
      </w:r>
      <w:r w:rsidRPr="00EC5781">
        <w:rPr>
          <w:rFonts w:ascii="Arial Narrow" w:hAnsi="Arial Narrow"/>
        </w:rPr>
        <w:t xml:space="preserve">TA jätkusuutlikkust ja potentsiaali </w:t>
      </w:r>
      <w:r w:rsidR="00714421" w:rsidRPr="00EC5781">
        <w:rPr>
          <w:rFonts w:ascii="Arial Narrow" w:hAnsi="Arial Narrow"/>
        </w:rPr>
        <w:t xml:space="preserve">näitavad </w:t>
      </w:r>
      <w:r w:rsidR="00F24AE2" w:rsidRPr="00EC5781">
        <w:rPr>
          <w:rFonts w:ascii="Arial Narrow" w:hAnsi="Arial Narrow"/>
        </w:rPr>
        <w:t xml:space="preserve">täiendavad </w:t>
      </w:r>
      <w:r w:rsidR="00714421" w:rsidRPr="00EC5781">
        <w:rPr>
          <w:rFonts w:ascii="Arial Narrow" w:hAnsi="Arial Narrow"/>
        </w:rPr>
        <w:t>faktid</w:t>
      </w:r>
      <w:r w:rsidR="00CD4F08" w:rsidRPr="00EC5781">
        <w:rPr>
          <w:rFonts w:ascii="Arial Narrow" w:hAnsi="Arial Narrow"/>
        </w:rPr>
        <w:t>.</w:t>
      </w:r>
    </w:p>
    <w:p w14:paraId="7369C2B0" w14:textId="77777777" w:rsidR="00EC5781" w:rsidRPr="00EC5781" w:rsidRDefault="00EC5781" w:rsidP="00EC5781">
      <w:pPr>
        <w:pStyle w:val="Loendilik"/>
        <w:jc w:val="both"/>
        <w:rPr>
          <w:rFonts w:ascii="Arial Narrow" w:hAnsi="Arial Narrow"/>
        </w:rPr>
      </w:pPr>
    </w:p>
    <w:p w14:paraId="2C10B0C7" w14:textId="37BD476C" w:rsidR="00C650E9" w:rsidRPr="00EC5781" w:rsidRDefault="00EC5781" w:rsidP="00EC5781">
      <w:pPr>
        <w:pStyle w:val="Loendilik"/>
        <w:numPr>
          <w:ilvl w:val="1"/>
          <w:numId w:val="32"/>
        </w:numPr>
        <w:jc w:val="both"/>
        <w:rPr>
          <w:rFonts w:ascii="Arial Narrow" w:hAnsi="Arial Narrow"/>
        </w:rPr>
      </w:pPr>
      <w:r>
        <w:rPr>
          <w:rFonts w:ascii="Arial Narrow" w:hAnsi="Arial Narrow"/>
          <w:b/>
        </w:rPr>
        <w:t>Ü</w:t>
      </w:r>
      <w:r w:rsidR="000B520F" w:rsidRPr="00EC5781">
        <w:rPr>
          <w:rFonts w:ascii="Arial Narrow" w:hAnsi="Arial Narrow"/>
          <w:b/>
        </w:rPr>
        <w:t>hiskondlik mõjukus</w:t>
      </w:r>
      <w:r w:rsidR="00D9300D" w:rsidRPr="00EC5781">
        <w:rPr>
          <w:rFonts w:ascii="Arial Narrow" w:hAnsi="Arial Narrow"/>
        </w:rPr>
        <w:t xml:space="preserve"> (</w:t>
      </w:r>
      <w:proofErr w:type="spellStart"/>
      <w:r w:rsidR="003473AE" w:rsidRPr="00EC5781">
        <w:rPr>
          <w:rFonts w:ascii="Arial Narrow" w:hAnsi="Arial Narrow"/>
        </w:rPr>
        <w:t>Societal</w:t>
      </w:r>
      <w:proofErr w:type="spellEnd"/>
      <w:r w:rsidR="003473AE" w:rsidRPr="00EC5781">
        <w:rPr>
          <w:rFonts w:ascii="Arial Narrow" w:hAnsi="Arial Narrow"/>
        </w:rPr>
        <w:t xml:space="preserve"> </w:t>
      </w:r>
      <w:proofErr w:type="spellStart"/>
      <w:r w:rsidR="00D9300D" w:rsidRPr="00EC5781">
        <w:rPr>
          <w:rFonts w:ascii="Arial Narrow" w:hAnsi="Arial Narrow"/>
          <w:i/>
        </w:rPr>
        <w:t>Importance</w:t>
      </w:r>
      <w:proofErr w:type="spellEnd"/>
      <w:r w:rsidR="00D9300D" w:rsidRPr="00EC5781">
        <w:rPr>
          <w:rFonts w:ascii="Arial Narrow" w:hAnsi="Arial Narrow"/>
          <w:i/>
        </w:rPr>
        <w:t xml:space="preserve"> of </w:t>
      </w:r>
      <w:proofErr w:type="spellStart"/>
      <w:r w:rsidR="00D9300D" w:rsidRPr="00EC5781">
        <w:rPr>
          <w:rFonts w:ascii="Arial Narrow" w:hAnsi="Arial Narrow"/>
          <w:i/>
        </w:rPr>
        <w:t>Research</w:t>
      </w:r>
      <w:proofErr w:type="spellEnd"/>
      <w:r w:rsidR="00D9300D" w:rsidRPr="00EC5781">
        <w:rPr>
          <w:rFonts w:ascii="Arial Narrow" w:hAnsi="Arial Narrow"/>
        </w:rPr>
        <w:t xml:space="preserve">). </w:t>
      </w:r>
    </w:p>
    <w:p w14:paraId="16861DE7" w14:textId="41BE2586" w:rsidR="004D3E49" w:rsidRPr="00EE23D0" w:rsidRDefault="00EB78E9" w:rsidP="004D3E49">
      <w:pPr>
        <w:jc w:val="both"/>
        <w:rPr>
          <w:rFonts w:ascii="Arial Narrow" w:hAnsi="Arial Narrow"/>
        </w:rPr>
      </w:pPr>
      <w:r w:rsidRPr="00EE23D0">
        <w:rPr>
          <w:rFonts w:ascii="Arial Narrow" w:hAnsi="Arial Narrow"/>
        </w:rPr>
        <w:t>Ühiskondliku mõjukusena</w:t>
      </w:r>
      <w:r w:rsidR="00D9300D" w:rsidRPr="00EE23D0">
        <w:rPr>
          <w:rFonts w:ascii="Arial Narrow" w:hAnsi="Arial Narrow"/>
        </w:rPr>
        <w:t xml:space="preserve"> käsitletakse </w:t>
      </w:r>
      <w:r w:rsidR="00B11316">
        <w:rPr>
          <w:rFonts w:ascii="Arial Narrow" w:hAnsi="Arial Narrow"/>
        </w:rPr>
        <w:t>valdkonna TA</w:t>
      </w:r>
      <w:r w:rsidR="00D9300D" w:rsidRPr="00EE23D0">
        <w:rPr>
          <w:rFonts w:ascii="Arial Narrow" w:hAnsi="Arial Narrow"/>
        </w:rPr>
        <w:t xml:space="preserve"> seostatust</w:t>
      </w:r>
      <w:r w:rsidR="00810204" w:rsidRPr="00EE23D0">
        <w:rPr>
          <w:rFonts w:ascii="Arial Narrow" w:hAnsi="Arial Narrow"/>
        </w:rPr>
        <w:t xml:space="preserve"> ühiskonnas</w:t>
      </w:r>
      <w:r w:rsidR="00D9300D" w:rsidRPr="00EE23D0">
        <w:rPr>
          <w:rFonts w:ascii="Arial Narrow" w:hAnsi="Arial Narrow"/>
        </w:rPr>
        <w:t xml:space="preserve"> aktuaalsete ja eeldatavalt tulevikus tekkivate (uurimis-, keskkonna, majanduse, ühiskondlik-kultuuriliste jne) probleemidega. </w:t>
      </w:r>
      <w:r w:rsidR="005E7A11">
        <w:rPr>
          <w:rFonts w:ascii="Arial Narrow" w:hAnsi="Arial Narrow"/>
        </w:rPr>
        <w:t>Ühiskonnaga seostatusena võib</w:t>
      </w:r>
      <w:r w:rsidR="005C0F41">
        <w:rPr>
          <w:rFonts w:ascii="Arial Narrow" w:hAnsi="Arial Narrow"/>
        </w:rPr>
        <w:t xml:space="preserve"> käsitleda näiteks</w:t>
      </w:r>
      <w:r w:rsidR="005E7A11">
        <w:rPr>
          <w:rFonts w:ascii="Arial Narrow" w:hAnsi="Arial Narrow"/>
        </w:rPr>
        <w:t xml:space="preserve"> aktuaalsete siseriiklikult oluliste</w:t>
      </w:r>
      <w:r w:rsidR="005C0F41">
        <w:rPr>
          <w:rFonts w:ascii="Arial Narrow" w:hAnsi="Arial Narrow"/>
        </w:rPr>
        <w:t xml:space="preserve"> </w:t>
      </w:r>
      <w:r w:rsidR="00F24AE2">
        <w:rPr>
          <w:rFonts w:ascii="Arial Narrow" w:hAnsi="Arial Narrow"/>
        </w:rPr>
        <w:t>rakendusuuringu</w:t>
      </w:r>
      <w:r w:rsidR="005E7A11">
        <w:rPr>
          <w:rFonts w:ascii="Arial Narrow" w:hAnsi="Arial Narrow"/>
        </w:rPr>
        <w:t>te läbiviimist</w:t>
      </w:r>
      <w:r w:rsidR="00D9300D" w:rsidRPr="00EE23D0">
        <w:rPr>
          <w:rFonts w:ascii="Arial Narrow" w:hAnsi="Arial Narrow"/>
        </w:rPr>
        <w:t xml:space="preserve"> </w:t>
      </w:r>
      <w:r w:rsidR="005E7A11">
        <w:rPr>
          <w:rFonts w:ascii="Arial Narrow" w:hAnsi="Arial Narrow"/>
        </w:rPr>
        <w:t>või</w:t>
      </w:r>
      <w:r w:rsidR="00D9300D" w:rsidRPr="00EE23D0">
        <w:rPr>
          <w:rFonts w:ascii="Arial Narrow" w:hAnsi="Arial Narrow"/>
        </w:rPr>
        <w:t xml:space="preserve"> </w:t>
      </w:r>
      <w:r w:rsidR="0066457F" w:rsidRPr="00EE23D0">
        <w:rPr>
          <w:rFonts w:ascii="Arial Narrow" w:hAnsi="Arial Narrow"/>
        </w:rPr>
        <w:t xml:space="preserve">ka </w:t>
      </w:r>
      <w:r w:rsidR="0058412A" w:rsidRPr="00EE23D0">
        <w:rPr>
          <w:rFonts w:ascii="Arial Narrow" w:hAnsi="Arial Narrow"/>
        </w:rPr>
        <w:t xml:space="preserve">pikas perspektiivis </w:t>
      </w:r>
      <w:r w:rsidR="00B72313">
        <w:rPr>
          <w:rFonts w:ascii="Arial Narrow" w:hAnsi="Arial Narrow"/>
        </w:rPr>
        <w:t xml:space="preserve">eeldatavalt </w:t>
      </w:r>
      <w:r w:rsidR="0058412A" w:rsidRPr="00EE23D0">
        <w:rPr>
          <w:rFonts w:ascii="Arial Narrow" w:hAnsi="Arial Narrow"/>
        </w:rPr>
        <w:t>saavutat</w:t>
      </w:r>
      <w:r w:rsidR="004223DB">
        <w:rPr>
          <w:rFonts w:ascii="Arial Narrow" w:hAnsi="Arial Narrow"/>
        </w:rPr>
        <w:t>avat</w:t>
      </w:r>
      <w:r w:rsidR="0058412A" w:rsidRPr="00EE23D0">
        <w:rPr>
          <w:rFonts w:ascii="Arial Narrow" w:hAnsi="Arial Narrow"/>
        </w:rPr>
        <w:t xml:space="preserve"> </w:t>
      </w:r>
      <w:r w:rsidR="005C0F41">
        <w:rPr>
          <w:rFonts w:ascii="Arial Narrow" w:hAnsi="Arial Narrow"/>
        </w:rPr>
        <w:t>TA</w:t>
      </w:r>
      <w:r w:rsidR="0058412A" w:rsidRPr="00EE23D0">
        <w:rPr>
          <w:rFonts w:ascii="Arial Narrow" w:hAnsi="Arial Narrow"/>
        </w:rPr>
        <w:t xml:space="preserve"> mõju keskkonna, majanduse ja/või ühiskondlik-kultuurilises kontekstis, sh globaalselt</w:t>
      </w:r>
      <w:r w:rsidR="00D9300D" w:rsidRPr="00EE23D0">
        <w:rPr>
          <w:rFonts w:ascii="Arial Narrow" w:hAnsi="Arial Narrow"/>
        </w:rPr>
        <w:t xml:space="preserve">. TA </w:t>
      </w:r>
      <w:r w:rsidR="00714421" w:rsidRPr="00EE23D0">
        <w:rPr>
          <w:rFonts w:ascii="Arial Narrow" w:hAnsi="Arial Narrow"/>
        </w:rPr>
        <w:t xml:space="preserve">ühiskondliku mõjukuse hindamine </w:t>
      </w:r>
      <w:r w:rsidR="00D9300D" w:rsidRPr="00EE23D0">
        <w:rPr>
          <w:rFonts w:ascii="Arial Narrow" w:hAnsi="Arial Narrow"/>
        </w:rPr>
        <w:t xml:space="preserve">on fokusseeritud sellele, mil määral TA </w:t>
      </w:r>
      <w:r w:rsidR="0058412A" w:rsidRPr="00EE23D0">
        <w:rPr>
          <w:rFonts w:ascii="Arial Narrow" w:hAnsi="Arial Narrow"/>
        </w:rPr>
        <w:t xml:space="preserve">vastavas valdkonnas </w:t>
      </w:r>
      <w:r w:rsidR="00D9300D" w:rsidRPr="00EE23D0">
        <w:rPr>
          <w:rFonts w:ascii="Arial Narrow" w:hAnsi="Arial Narrow"/>
        </w:rPr>
        <w:t xml:space="preserve">vastab </w:t>
      </w:r>
      <w:r w:rsidR="00F24AE2">
        <w:rPr>
          <w:rFonts w:ascii="Arial Narrow" w:hAnsi="Arial Narrow"/>
        </w:rPr>
        <w:t>eelpool nimetatud</w:t>
      </w:r>
      <w:r w:rsidR="00D9300D" w:rsidRPr="00EE23D0">
        <w:rPr>
          <w:rFonts w:ascii="Arial Narrow" w:hAnsi="Arial Narrow"/>
        </w:rPr>
        <w:t xml:space="preserve"> probleemidele</w:t>
      </w:r>
      <w:r w:rsidR="00F24AE2">
        <w:rPr>
          <w:rFonts w:ascii="Arial Narrow" w:hAnsi="Arial Narrow"/>
        </w:rPr>
        <w:t>, on</w:t>
      </w:r>
      <w:r w:rsidR="00D9300D" w:rsidRPr="00EE23D0">
        <w:rPr>
          <w:rFonts w:ascii="Arial Narrow" w:hAnsi="Arial Narrow"/>
        </w:rPr>
        <w:t xml:space="preserve"> </w:t>
      </w:r>
      <w:r w:rsidR="00F24AE2">
        <w:rPr>
          <w:rFonts w:ascii="Arial Narrow" w:hAnsi="Arial Narrow"/>
        </w:rPr>
        <w:t xml:space="preserve">orienteeritud </w:t>
      </w:r>
      <w:r w:rsidR="00D9300D" w:rsidRPr="00EE23D0">
        <w:rPr>
          <w:rFonts w:ascii="Arial Narrow" w:hAnsi="Arial Narrow"/>
        </w:rPr>
        <w:t>ne</w:t>
      </w:r>
      <w:r w:rsidR="00F24AE2">
        <w:rPr>
          <w:rFonts w:ascii="Arial Narrow" w:hAnsi="Arial Narrow"/>
        </w:rPr>
        <w:t>nde</w:t>
      </w:r>
      <w:r w:rsidR="00D9300D" w:rsidRPr="00EE23D0">
        <w:rPr>
          <w:rFonts w:ascii="Arial Narrow" w:hAnsi="Arial Narrow"/>
        </w:rPr>
        <w:t xml:space="preserve"> määratlem</w:t>
      </w:r>
      <w:r w:rsidR="00F24AE2">
        <w:rPr>
          <w:rFonts w:ascii="Arial Narrow" w:hAnsi="Arial Narrow"/>
        </w:rPr>
        <w:t>isele</w:t>
      </w:r>
      <w:r w:rsidR="00D9300D" w:rsidRPr="00EE23D0">
        <w:rPr>
          <w:rFonts w:ascii="Arial Narrow" w:hAnsi="Arial Narrow"/>
        </w:rPr>
        <w:t xml:space="preserve"> (ka pikas perspektiivis)</w:t>
      </w:r>
      <w:r w:rsidR="00F24AE2">
        <w:rPr>
          <w:rFonts w:ascii="Arial Narrow" w:hAnsi="Arial Narrow"/>
        </w:rPr>
        <w:t xml:space="preserve"> ja lahenduste leidmisele</w:t>
      </w:r>
      <w:r w:rsidR="00D9300D" w:rsidRPr="00EE23D0">
        <w:rPr>
          <w:rFonts w:ascii="Arial Narrow" w:hAnsi="Arial Narrow"/>
        </w:rPr>
        <w:t xml:space="preserve">. </w:t>
      </w:r>
    </w:p>
    <w:p w14:paraId="1892DC4B" w14:textId="78B609F2" w:rsidR="00D9300D" w:rsidRPr="00EE23D0" w:rsidRDefault="004D3E49" w:rsidP="00A428F1">
      <w:pPr>
        <w:jc w:val="both"/>
        <w:rPr>
          <w:rFonts w:ascii="Arial Narrow" w:hAnsi="Arial Narrow"/>
        </w:rPr>
      </w:pPr>
      <w:r>
        <w:rPr>
          <w:rFonts w:ascii="Arial Narrow" w:hAnsi="Arial Narrow"/>
        </w:rPr>
        <w:t>Ü</w:t>
      </w:r>
      <w:r w:rsidR="00EB78E9" w:rsidRPr="00EE23D0">
        <w:rPr>
          <w:rFonts w:ascii="Arial Narrow" w:hAnsi="Arial Narrow"/>
        </w:rPr>
        <w:t>hiskondliku mõjukuse</w:t>
      </w:r>
      <w:r w:rsidR="00D9300D" w:rsidRPr="00EE23D0">
        <w:rPr>
          <w:rFonts w:ascii="Arial Narrow" w:hAnsi="Arial Narrow"/>
        </w:rPr>
        <w:t xml:space="preserve"> indikaator</w:t>
      </w:r>
      <w:r w:rsidR="00EC5781">
        <w:rPr>
          <w:rFonts w:ascii="Arial Narrow" w:hAnsi="Arial Narrow"/>
        </w:rPr>
        <w:t>id</w:t>
      </w:r>
      <w:r w:rsidR="005E3240" w:rsidRPr="00EE23D0">
        <w:rPr>
          <w:rFonts w:ascii="Arial Narrow" w:hAnsi="Arial Narrow"/>
        </w:rPr>
        <w:t>:</w:t>
      </w:r>
    </w:p>
    <w:p w14:paraId="45926DFF" w14:textId="13085554" w:rsidR="00EC5781" w:rsidRPr="00EC5781" w:rsidRDefault="000B520F" w:rsidP="00EC5781">
      <w:pPr>
        <w:pStyle w:val="Loendilik"/>
        <w:numPr>
          <w:ilvl w:val="2"/>
          <w:numId w:val="32"/>
        </w:numPr>
        <w:jc w:val="both"/>
        <w:rPr>
          <w:rFonts w:ascii="Arial Narrow" w:hAnsi="Arial Narrow"/>
        </w:rPr>
      </w:pPr>
      <w:r w:rsidRPr="00EC5781">
        <w:rPr>
          <w:rFonts w:ascii="Arial Narrow" w:hAnsi="Arial Narrow"/>
        </w:rPr>
        <w:t xml:space="preserve">Asutuse hinnangul </w:t>
      </w:r>
      <w:r w:rsidR="00ED00F3" w:rsidRPr="00EC5781">
        <w:rPr>
          <w:rFonts w:ascii="Arial Narrow" w:hAnsi="Arial Narrow"/>
        </w:rPr>
        <w:t>olulisimad TA ühiskondlikku mõjukust näitavad faktid</w:t>
      </w:r>
      <w:r w:rsidR="00CD4F08" w:rsidRPr="00EC5781">
        <w:rPr>
          <w:rFonts w:ascii="Arial Narrow" w:hAnsi="Arial Narrow"/>
        </w:rPr>
        <w:t>.</w:t>
      </w:r>
    </w:p>
    <w:p w14:paraId="5382DC1A" w14:textId="55BBC4A0" w:rsidR="00136D63" w:rsidRDefault="00136D63" w:rsidP="00062229">
      <w:pPr>
        <w:pStyle w:val="Loendilik"/>
        <w:numPr>
          <w:ilvl w:val="2"/>
          <w:numId w:val="32"/>
        </w:numPr>
        <w:jc w:val="both"/>
        <w:rPr>
          <w:rFonts w:ascii="Arial Narrow" w:hAnsi="Arial Narrow"/>
        </w:rPr>
      </w:pPr>
      <w:r w:rsidRPr="00EC5781">
        <w:rPr>
          <w:rFonts w:ascii="Arial Narrow" w:hAnsi="Arial Narrow"/>
        </w:rPr>
        <w:t xml:space="preserve">Lisaks näitavad ühiskondlikku mõjukust ka kahe esimese kriteeriumi indikaatorid juhul, kui need indikaatorid seostatakse konkreetse ühiskondliku mõjukuse argumendiga (nt kuidas doktoriõppe lõpetajate arv on konkreetsete faktide tõendusel mõjutanud ühiskonda (st mitte, kuidas see võiks eeldatavasti olla). Lisaks saab asutus ka ise esile tõsta täiendavaid asjaolusid, mis ühiskondlikku mõjukust  </w:t>
      </w:r>
      <w:r w:rsidRPr="00EC5781">
        <w:rPr>
          <w:rFonts w:ascii="Arial Narrow" w:hAnsi="Arial Narrow"/>
        </w:rPr>
        <w:lastRenderedPageBreak/>
        <w:t>kirjeldavad.</w:t>
      </w:r>
      <w:r w:rsidR="00062229">
        <w:rPr>
          <w:rFonts w:ascii="Arial Narrow" w:hAnsi="Arial Narrow"/>
        </w:rPr>
        <w:t xml:space="preserve"> </w:t>
      </w:r>
      <w:r w:rsidR="00062229" w:rsidRPr="00062229">
        <w:rPr>
          <w:rFonts w:ascii="Arial Narrow" w:hAnsi="Arial Narrow"/>
        </w:rPr>
        <w:t>Nendeks ühiskondlikku mõjukust näitavateks faktideks võivad olla näiteks TA-tegevuse kaudu teenitud tulu maht ettevõtlusele ja/või riigile osutatud lepingulisest teadustööst; TA tegevusega seonduvalt riigi- ja/või ettevõtete nõustamine ühiskondlikult olulistel teemadel (nt osalemine nõuandvates kogudes, juhtorganites, vm); TA tegevuse tulemuste levitamine ja populariseerimine ühiskonnas; TA tegevuse tulemusel valminud avalikult kättesaadavad väljaanded, andmebaasid, tooted/teenused; või muud ühiskondlikku mõjukust näitavad faktid.</w:t>
      </w:r>
    </w:p>
    <w:p w14:paraId="154D9776" w14:textId="77777777" w:rsidR="00854E33" w:rsidRPr="00EC5781" w:rsidRDefault="00854E33" w:rsidP="00854E33">
      <w:pPr>
        <w:pStyle w:val="Loendilik"/>
        <w:jc w:val="both"/>
        <w:rPr>
          <w:rFonts w:ascii="Arial Narrow" w:hAnsi="Arial Narrow"/>
        </w:rPr>
      </w:pPr>
    </w:p>
    <w:p w14:paraId="5989079D" w14:textId="77777777" w:rsidR="00854E33" w:rsidRDefault="00854E33" w:rsidP="00854E33">
      <w:pPr>
        <w:pStyle w:val="Default"/>
        <w:spacing w:after="27"/>
        <w:rPr>
          <w:rFonts w:ascii="Arial Narrow" w:hAnsi="Arial Narrow"/>
          <w:sz w:val="22"/>
          <w:szCs w:val="22"/>
        </w:rPr>
      </w:pPr>
      <w:r w:rsidRPr="00EE23D0">
        <w:rPr>
          <w:rFonts w:ascii="Arial Narrow" w:hAnsi="Arial Narrow"/>
          <w:color w:val="000000" w:themeColor="text1"/>
          <w:sz w:val="22"/>
          <w:szCs w:val="22"/>
        </w:rPr>
        <w:t xml:space="preserve">Kõigi hindamiskriteeriumide ja -indikaatorite puhul lähtub komisjon hinnangu andmisel </w:t>
      </w:r>
      <w:proofErr w:type="spellStart"/>
      <w:r w:rsidRPr="00EE23D0">
        <w:rPr>
          <w:rFonts w:ascii="Arial Narrow" w:hAnsi="Arial Narrow"/>
          <w:color w:val="000000" w:themeColor="text1"/>
          <w:sz w:val="22"/>
          <w:szCs w:val="22"/>
        </w:rPr>
        <w:t>evalveeritava</w:t>
      </w:r>
      <w:proofErr w:type="spellEnd"/>
      <w:r w:rsidRPr="00EE23D0">
        <w:rPr>
          <w:rFonts w:ascii="Arial Narrow" w:hAnsi="Arial Narrow"/>
          <w:color w:val="000000" w:themeColor="text1"/>
          <w:sz w:val="22"/>
          <w:szCs w:val="22"/>
        </w:rPr>
        <w:t xml:space="preserve"> valdkonna eripärast. </w:t>
      </w:r>
      <w:r w:rsidRPr="00EE23D0">
        <w:rPr>
          <w:rFonts w:ascii="Arial Narrow" w:hAnsi="Arial Narrow"/>
          <w:sz w:val="22"/>
          <w:szCs w:val="22"/>
        </w:rPr>
        <w:t>Loomesuundades arvestatakse lisaks TA-</w:t>
      </w:r>
      <w:r>
        <w:rPr>
          <w:rFonts w:ascii="Arial Narrow" w:hAnsi="Arial Narrow"/>
          <w:sz w:val="22"/>
          <w:szCs w:val="22"/>
        </w:rPr>
        <w:t>l</w:t>
      </w:r>
      <w:r w:rsidRPr="00EE23D0">
        <w:rPr>
          <w:rFonts w:ascii="Arial Narrow" w:hAnsi="Arial Narrow"/>
          <w:sz w:val="22"/>
          <w:szCs w:val="22"/>
        </w:rPr>
        <w:t>e ka loometegevust, sh vastavaid esituskanaleid (näitused, kontserdid jms), ent need ei asenda täies mahus TA-</w:t>
      </w:r>
      <w:r>
        <w:rPr>
          <w:rFonts w:ascii="Arial Narrow" w:hAnsi="Arial Narrow"/>
          <w:sz w:val="22"/>
          <w:szCs w:val="22"/>
        </w:rPr>
        <w:t>d</w:t>
      </w:r>
      <w:r w:rsidRPr="00EE23D0">
        <w:rPr>
          <w:rFonts w:ascii="Arial Narrow" w:hAnsi="Arial Narrow"/>
          <w:sz w:val="22"/>
          <w:szCs w:val="22"/>
        </w:rPr>
        <w:t xml:space="preserve"> (TA määratlus vt mõistetes).</w:t>
      </w:r>
    </w:p>
    <w:p w14:paraId="78F5F1B7" w14:textId="77777777" w:rsidR="00854E33" w:rsidRPr="00EE23D0" w:rsidRDefault="00854E33" w:rsidP="00854E33">
      <w:pPr>
        <w:pStyle w:val="Default"/>
        <w:spacing w:after="27"/>
        <w:rPr>
          <w:rFonts w:ascii="Arial Narrow" w:hAnsi="Arial Narrow"/>
          <w:sz w:val="22"/>
          <w:szCs w:val="22"/>
        </w:rPr>
      </w:pPr>
    </w:p>
    <w:p w14:paraId="2EE5A9EE" w14:textId="626FE858" w:rsidR="00854E33" w:rsidRPr="00854E33" w:rsidRDefault="00854E33" w:rsidP="00854E33">
      <w:pPr>
        <w:pStyle w:val="Loendilik"/>
        <w:numPr>
          <w:ilvl w:val="0"/>
          <w:numId w:val="32"/>
        </w:numPr>
        <w:jc w:val="both"/>
        <w:rPr>
          <w:rFonts w:ascii="Arial Narrow" w:hAnsi="Arial Narrow"/>
          <w:b/>
          <w:color w:val="000000" w:themeColor="text1"/>
        </w:rPr>
      </w:pPr>
      <w:r w:rsidRPr="00854E33">
        <w:rPr>
          <w:rFonts w:ascii="Arial Narrow" w:hAnsi="Arial Narrow"/>
          <w:b/>
          <w:color w:val="000000" w:themeColor="text1"/>
        </w:rPr>
        <w:t xml:space="preserve">Asutuse </w:t>
      </w:r>
      <w:r>
        <w:rPr>
          <w:rFonts w:ascii="Arial Narrow" w:hAnsi="Arial Narrow"/>
          <w:b/>
          <w:color w:val="000000" w:themeColor="text1"/>
        </w:rPr>
        <w:t>vajadustega arvestamine</w:t>
      </w:r>
      <w:r w:rsidRPr="00854E33">
        <w:rPr>
          <w:rFonts w:ascii="Arial Narrow" w:hAnsi="Arial Narrow"/>
          <w:b/>
          <w:color w:val="000000" w:themeColor="text1"/>
        </w:rPr>
        <w:t xml:space="preserve"> </w:t>
      </w:r>
    </w:p>
    <w:p w14:paraId="5735D631" w14:textId="7E2AFA7F" w:rsidR="0058412A" w:rsidRDefault="00721678" w:rsidP="00B72313">
      <w:pPr>
        <w:jc w:val="both"/>
        <w:rPr>
          <w:rFonts w:ascii="Arial Narrow" w:hAnsi="Arial Narrow"/>
        </w:rPr>
      </w:pPr>
      <w:r>
        <w:rPr>
          <w:rFonts w:ascii="Arial Narrow" w:hAnsi="Arial Narrow"/>
          <w:color w:val="000000" w:themeColor="text1"/>
        </w:rPr>
        <w:t>A</w:t>
      </w:r>
      <w:r w:rsidR="0058412A" w:rsidRPr="00EE23D0">
        <w:rPr>
          <w:rFonts w:ascii="Arial Narrow" w:hAnsi="Arial Narrow"/>
          <w:color w:val="000000" w:themeColor="text1"/>
        </w:rPr>
        <w:t>sutus</w:t>
      </w:r>
      <w:r w:rsidR="00000BD5" w:rsidRPr="00EE23D0">
        <w:rPr>
          <w:rFonts w:ascii="Arial Narrow" w:hAnsi="Arial Narrow"/>
          <w:color w:val="000000" w:themeColor="text1"/>
        </w:rPr>
        <w:t xml:space="preserve"> võib</w:t>
      </w:r>
      <w:r w:rsidR="0058412A" w:rsidRPr="00EE23D0">
        <w:rPr>
          <w:rFonts w:ascii="Arial Narrow" w:hAnsi="Arial Narrow"/>
          <w:color w:val="000000" w:themeColor="text1"/>
        </w:rPr>
        <w:t xml:space="preserve"> </w:t>
      </w:r>
      <w:r w:rsidR="003A42CD" w:rsidRPr="00EE23D0">
        <w:rPr>
          <w:rFonts w:ascii="Arial Narrow" w:hAnsi="Arial Narrow"/>
          <w:color w:val="000000" w:themeColor="text1"/>
        </w:rPr>
        <w:t>eneseanalüüsi aruandes paluda</w:t>
      </w:r>
      <w:r w:rsidR="0058412A" w:rsidRPr="00EE23D0">
        <w:rPr>
          <w:rFonts w:ascii="Arial Narrow" w:hAnsi="Arial Narrow"/>
          <w:color w:val="000000" w:themeColor="text1"/>
        </w:rPr>
        <w:t xml:space="preserve"> </w:t>
      </w:r>
      <w:r w:rsidR="003A42CD" w:rsidRPr="00EE23D0">
        <w:rPr>
          <w:rFonts w:ascii="Arial Narrow" w:hAnsi="Arial Narrow"/>
          <w:color w:val="000000" w:themeColor="text1"/>
        </w:rPr>
        <w:t>hinda</w:t>
      </w:r>
      <w:r w:rsidR="005E3240" w:rsidRPr="00EE23D0">
        <w:rPr>
          <w:rFonts w:ascii="Arial Narrow" w:hAnsi="Arial Narrow"/>
          <w:color w:val="000000" w:themeColor="text1"/>
        </w:rPr>
        <w:t>mis</w:t>
      </w:r>
      <w:r w:rsidR="0058412A" w:rsidRPr="00EE23D0">
        <w:rPr>
          <w:rFonts w:ascii="Arial Narrow" w:hAnsi="Arial Narrow"/>
          <w:color w:val="000000" w:themeColor="text1"/>
        </w:rPr>
        <w:t>komisjonil</w:t>
      </w:r>
      <w:r w:rsidR="00A1359D" w:rsidRPr="00EE23D0">
        <w:rPr>
          <w:rFonts w:ascii="Arial Narrow" w:hAnsi="Arial Narrow"/>
          <w:color w:val="000000" w:themeColor="text1"/>
        </w:rPr>
        <w:t>t tagasisidet</w:t>
      </w:r>
      <w:r w:rsidR="0058412A" w:rsidRPr="00EE23D0">
        <w:rPr>
          <w:rFonts w:ascii="Arial Narrow" w:hAnsi="Arial Narrow"/>
          <w:color w:val="000000" w:themeColor="text1"/>
        </w:rPr>
        <w:t xml:space="preserve"> </w:t>
      </w:r>
      <w:r w:rsidR="00000BD5" w:rsidRPr="00EE23D0">
        <w:rPr>
          <w:rFonts w:ascii="Arial Narrow" w:hAnsi="Arial Narrow"/>
          <w:color w:val="000000" w:themeColor="text1"/>
        </w:rPr>
        <w:t xml:space="preserve">kuni kolmele </w:t>
      </w:r>
      <w:r w:rsidR="0058412A" w:rsidRPr="00EE23D0">
        <w:rPr>
          <w:rFonts w:ascii="Arial Narrow" w:hAnsi="Arial Narrow"/>
          <w:color w:val="000000" w:themeColor="text1"/>
        </w:rPr>
        <w:t>konkreetsemale TA</w:t>
      </w:r>
      <w:r w:rsidR="00B11316">
        <w:rPr>
          <w:rFonts w:ascii="Arial Narrow" w:hAnsi="Arial Narrow"/>
          <w:color w:val="000000" w:themeColor="text1"/>
        </w:rPr>
        <w:t xml:space="preserve"> </w:t>
      </w:r>
      <w:r w:rsidR="0058412A" w:rsidRPr="00EE23D0">
        <w:rPr>
          <w:rFonts w:ascii="Arial Narrow" w:hAnsi="Arial Narrow"/>
          <w:color w:val="000000" w:themeColor="text1"/>
        </w:rPr>
        <w:t xml:space="preserve"> aspektile</w:t>
      </w:r>
      <w:r w:rsidR="00000BD5" w:rsidRPr="00EE23D0">
        <w:rPr>
          <w:rFonts w:ascii="Arial Narrow" w:hAnsi="Arial Narrow"/>
          <w:color w:val="000000" w:themeColor="text1"/>
        </w:rPr>
        <w:t xml:space="preserve">, mis on asutusele antud ajahetkel </w:t>
      </w:r>
      <w:r w:rsidR="00CD4F08" w:rsidRPr="00EE23D0">
        <w:rPr>
          <w:rFonts w:ascii="Arial Narrow" w:hAnsi="Arial Narrow"/>
          <w:color w:val="000000" w:themeColor="text1"/>
        </w:rPr>
        <w:t>o</w:t>
      </w:r>
      <w:r w:rsidR="00000BD5" w:rsidRPr="00EE23D0">
        <w:rPr>
          <w:rFonts w:ascii="Arial Narrow" w:hAnsi="Arial Narrow"/>
          <w:color w:val="000000" w:themeColor="text1"/>
        </w:rPr>
        <w:t xml:space="preserve">luline (nt arengukavast vms tulenevalt). Sellisteks aspektideks võivad olla </w:t>
      </w:r>
      <w:r w:rsidR="00B72313">
        <w:rPr>
          <w:rFonts w:ascii="Arial Narrow" w:hAnsi="Arial Narrow"/>
          <w:color w:val="000000" w:themeColor="text1"/>
        </w:rPr>
        <w:t xml:space="preserve">näiteks </w:t>
      </w:r>
      <w:r w:rsidR="0058412A" w:rsidRPr="00B72313">
        <w:rPr>
          <w:rFonts w:ascii="Arial Narrow" w:hAnsi="Arial Narrow"/>
        </w:rPr>
        <w:t xml:space="preserve">loomevaldkonnas valdkonna spetsiifikast tulenevad erinevad rõhuasetused asutuse TA-s; </w:t>
      </w:r>
      <w:r w:rsidR="0058412A" w:rsidRPr="00EE23D0">
        <w:rPr>
          <w:rFonts w:ascii="Arial Narrow" w:hAnsi="Arial Narrow"/>
        </w:rPr>
        <w:t>valdkonna nn sotsiaalne mõjukus (edulood jms);</w:t>
      </w:r>
      <w:r w:rsidR="00B72313">
        <w:rPr>
          <w:rFonts w:ascii="Arial Narrow" w:hAnsi="Arial Narrow"/>
        </w:rPr>
        <w:t xml:space="preserve"> </w:t>
      </w:r>
      <w:r w:rsidR="0058412A" w:rsidRPr="00EE23D0">
        <w:rPr>
          <w:rFonts w:ascii="Arial Narrow" w:hAnsi="Arial Narrow"/>
        </w:rPr>
        <w:t>noorte teadlaste karjäärivõimalus</w:t>
      </w:r>
      <w:r w:rsidR="0049428F">
        <w:rPr>
          <w:rFonts w:ascii="Arial Narrow" w:hAnsi="Arial Narrow"/>
        </w:rPr>
        <w:t>te toetamine</w:t>
      </w:r>
      <w:r w:rsidR="0058412A" w:rsidRPr="00EE23D0">
        <w:rPr>
          <w:rFonts w:ascii="Arial Narrow" w:hAnsi="Arial Narrow"/>
        </w:rPr>
        <w:t xml:space="preserve"> (karjäärimudel</w:t>
      </w:r>
      <w:r w:rsidR="0049428F">
        <w:rPr>
          <w:rFonts w:ascii="Arial Narrow" w:hAnsi="Arial Narrow"/>
        </w:rPr>
        <w:t>i</w:t>
      </w:r>
      <w:r w:rsidR="0058412A" w:rsidRPr="00EE23D0">
        <w:rPr>
          <w:rFonts w:ascii="Arial Narrow" w:hAnsi="Arial Narrow"/>
        </w:rPr>
        <w:t xml:space="preserve"> ülesehit</w:t>
      </w:r>
      <w:r w:rsidR="0049428F">
        <w:rPr>
          <w:rFonts w:ascii="Arial Narrow" w:hAnsi="Arial Narrow"/>
        </w:rPr>
        <w:t>us</w:t>
      </w:r>
      <w:r w:rsidR="0058412A" w:rsidRPr="00EE23D0">
        <w:rPr>
          <w:rFonts w:ascii="Arial Narrow" w:hAnsi="Arial Narrow"/>
        </w:rPr>
        <w:t>; noore teadlase väljavaated jms); soolõime aspektid</w:t>
      </w:r>
      <w:r w:rsidR="00A2121B" w:rsidRPr="00EE23D0">
        <w:rPr>
          <w:rFonts w:ascii="Arial Narrow" w:hAnsi="Arial Narrow"/>
        </w:rPr>
        <w:t xml:space="preserve"> (kas naistele/</w:t>
      </w:r>
      <w:proofErr w:type="spellStart"/>
      <w:r w:rsidR="00A2121B" w:rsidRPr="00EE23D0">
        <w:rPr>
          <w:rFonts w:ascii="Arial Narrow" w:hAnsi="Arial Narrow"/>
        </w:rPr>
        <w:t>vä</w:t>
      </w:r>
      <w:r w:rsidR="00EB27BC" w:rsidRPr="00EE23D0">
        <w:rPr>
          <w:rFonts w:ascii="Arial Narrow" w:hAnsi="Arial Narrow"/>
        </w:rPr>
        <w:t>l</w:t>
      </w:r>
      <w:r w:rsidR="00A2121B" w:rsidRPr="00EE23D0">
        <w:rPr>
          <w:rFonts w:ascii="Arial Narrow" w:hAnsi="Arial Narrow"/>
        </w:rPr>
        <w:t>istöötajatele</w:t>
      </w:r>
      <w:proofErr w:type="spellEnd"/>
      <w:r w:rsidR="00A2121B" w:rsidRPr="00EE23D0">
        <w:rPr>
          <w:rFonts w:ascii="Arial Narrow" w:hAnsi="Arial Narrow"/>
        </w:rPr>
        <w:t xml:space="preserve"> jt on tagatud võrdsed võimalused, kas palgapoliitika on töötajaskonna eri rühmade osas õiglane jms)</w:t>
      </w:r>
      <w:r w:rsidR="0058412A" w:rsidRPr="00EE23D0">
        <w:rPr>
          <w:rFonts w:ascii="Arial Narrow" w:hAnsi="Arial Narrow"/>
        </w:rPr>
        <w:t>;</w:t>
      </w:r>
      <w:r w:rsidR="00B72313">
        <w:rPr>
          <w:rFonts w:ascii="Arial Narrow" w:hAnsi="Arial Narrow"/>
        </w:rPr>
        <w:t xml:space="preserve"> </w:t>
      </w:r>
      <w:r w:rsidR="0058412A" w:rsidRPr="00EE23D0">
        <w:rPr>
          <w:rFonts w:ascii="Arial Narrow" w:hAnsi="Arial Narrow"/>
        </w:rPr>
        <w:t>e</w:t>
      </w:r>
      <w:r w:rsidR="00A2121B" w:rsidRPr="00EE23D0">
        <w:rPr>
          <w:rFonts w:ascii="Arial Narrow" w:hAnsi="Arial Narrow"/>
        </w:rPr>
        <w:t>ttepanekud arengusuundadeks</w:t>
      </w:r>
      <w:r w:rsidR="0058412A" w:rsidRPr="00EE23D0">
        <w:rPr>
          <w:rFonts w:ascii="Arial Narrow" w:hAnsi="Arial Narrow"/>
        </w:rPr>
        <w:t>;</w:t>
      </w:r>
      <w:r w:rsidR="00B72313">
        <w:rPr>
          <w:rFonts w:ascii="Arial Narrow" w:hAnsi="Arial Narrow"/>
        </w:rPr>
        <w:t xml:space="preserve"> </w:t>
      </w:r>
      <w:r w:rsidR="005E3240" w:rsidRPr="00EE23D0">
        <w:rPr>
          <w:rFonts w:ascii="Arial Narrow" w:hAnsi="Arial Narrow"/>
        </w:rPr>
        <w:t>teaduse avatus;</w:t>
      </w:r>
      <w:r w:rsidR="00B72313">
        <w:rPr>
          <w:rFonts w:ascii="Arial Narrow" w:hAnsi="Arial Narrow"/>
        </w:rPr>
        <w:t xml:space="preserve"> </w:t>
      </w:r>
      <w:r w:rsidR="0058412A" w:rsidRPr="00EE23D0">
        <w:rPr>
          <w:rFonts w:ascii="Arial Narrow" w:hAnsi="Arial Narrow"/>
        </w:rPr>
        <w:t>silmapaistvate tulemuste esiletoomine</w:t>
      </w:r>
      <w:r w:rsidR="00A2121B" w:rsidRPr="00EE23D0">
        <w:rPr>
          <w:rFonts w:ascii="Arial Narrow" w:hAnsi="Arial Narrow"/>
        </w:rPr>
        <w:t>.</w:t>
      </w:r>
    </w:p>
    <w:p w14:paraId="58B25384" w14:textId="77777777" w:rsidR="00854E33" w:rsidRPr="00EE23D0" w:rsidRDefault="00854E33" w:rsidP="00B72313">
      <w:pPr>
        <w:jc w:val="both"/>
        <w:rPr>
          <w:rFonts w:ascii="Arial Narrow" w:hAnsi="Arial Narrow"/>
        </w:rPr>
      </w:pPr>
    </w:p>
    <w:p w14:paraId="2EE4D824" w14:textId="387CCC2D" w:rsidR="003A42CD" w:rsidRPr="00891732" w:rsidRDefault="003A42CD" w:rsidP="00891732">
      <w:pPr>
        <w:pStyle w:val="Loendilik"/>
        <w:numPr>
          <w:ilvl w:val="0"/>
          <w:numId w:val="32"/>
        </w:numPr>
        <w:jc w:val="both"/>
        <w:rPr>
          <w:rFonts w:ascii="Arial Narrow" w:hAnsi="Arial Narrow"/>
          <w:b/>
        </w:rPr>
      </w:pPr>
      <w:proofErr w:type="spellStart"/>
      <w:r w:rsidRPr="00891732">
        <w:rPr>
          <w:rFonts w:ascii="Arial Narrow" w:hAnsi="Arial Narrow"/>
          <w:b/>
        </w:rPr>
        <w:t>Evalveerimisraport</w:t>
      </w:r>
      <w:proofErr w:type="spellEnd"/>
      <w:r w:rsidRPr="00891732">
        <w:rPr>
          <w:rFonts w:ascii="Arial Narrow" w:hAnsi="Arial Narrow"/>
          <w:b/>
        </w:rPr>
        <w:t xml:space="preserve"> </w:t>
      </w:r>
    </w:p>
    <w:p w14:paraId="10951E17" w14:textId="25B1916B" w:rsidR="00401D8D" w:rsidRPr="00EE23D0" w:rsidRDefault="009F79DF" w:rsidP="00891732">
      <w:pPr>
        <w:pStyle w:val="Default"/>
        <w:rPr>
          <w:rFonts w:ascii="Arial Narrow" w:hAnsi="Arial Narrow"/>
          <w:sz w:val="22"/>
          <w:szCs w:val="22"/>
        </w:rPr>
      </w:pPr>
      <w:r w:rsidRPr="00EE23D0">
        <w:rPr>
          <w:rFonts w:ascii="Arial Narrow" w:hAnsi="Arial Narrow"/>
          <w:sz w:val="22"/>
          <w:szCs w:val="22"/>
        </w:rPr>
        <w:t>Hindamiskomisjon annab asutuse eneseanalüüsi aruande</w:t>
      </w:r>
      <w:r w:rsidR="00141B8F" w:rsidRPr="00EE23D0">
        <w:rPr>
          <w:rFonts w:ascii="Arial Narrow" w:hAnsi="Arial Narrow"/>
          <w:sz w:val="22"/>
          <w:szCs w:val="22"/>
        </w:rPr>
        <w:t>,</w:t>
      </w:r>
      <w:r w:rsidRPr="00EE23D0">
        <w:rPr>
          <w:rFonts w:ascii="Arial Narrow" w:hAnsi="Arial Narrow"/>
          <w:sz w:val="22"/>
          <w:szCs w:val="22"/>
        </w:rPr>
        <w:t xml:space="preserve"> asutuse külastuse ning vajadusel täiendavate asutuselt küsitud andmete alusel </w:t>
      </w:r>
      <w:proofErr w:type="spellStart"/>
      <w:r w:rsidR="00DB0606" w:rsidRPr="00EE23D0">
        <w:rPr>
          <w:rFonts w:ascii="Arial Narrow" w:hAnsi="Arial Narrow"/>
          <w:sz w:val="22"/>
          <w:szCs w:val="22"/>
        </w:rPr>
        <w:t>ETIS-es</w:t>
      </w:r>
      <w:proofErr w:type="spellEnd"/>
      <w:r w:rsidR="00DB0606" w:rsidRPr="00EE23D0">
        <w:rPr>
          <w:rFonts w:ascii="Arial Narrow" w:hAnsi="Arial Narrow"/>
          <w:sz w:val="22"/>
          <w:szCs w:val="22"/>
        </w:rPr>
        <w:t xml:space="preserve"> vastaval vormil </w:t>
      </w:r>
      <w:r w:rsidR="00401D8D" w:rsidRPr="00EE23D0">
        <w:rPr>
          <w:rFonts w:ascii="Arial Narrow" w:hAnsi="Arial Narrow"/>
          <w:sz w:val="22"/>
          <w:szCs w:val="22"/>
        </w:rPr>
        <w:t xml:space="preserve">hinnangu </w:t>
      </w:r>
      <w:r w:rsidRPr="00EE23D0">
        <w:rPr>
          <w:rFonts w:ascii="Arial Narrow" w:hAnsi="Arial Narrow"/>
          <w:sz w:val="22"/>
          <w:szCs w:val="22"/>
        </w:rPr>
        <w:t xml:space="preserve">kolme hindamiskriteeriumi (teaduslik mõjukus, jätkusuutlikkus ja potentsiaal, ühiskondlik mõjukus) lõikes </w:t>
      </w:r>
      <w:r w:rsidR="00401D8D" w:rsidRPr="00EE23D0">
        <w:rPr>
          <w:rFonts w:ascii="Arial Narrow" w:hAnsi="Arial Narrow"/>
          <w:sz w:val="22"/>
          <w:szCs w:val="22"/>
        </w:rPr>
        <w:t xml:space="preserve">eristaval </w:t>
      </w:r>
      <w:r w:rsidR="00E82863" w:rsidRPr="00EE23D0">
        <w:rPr>
          <w:rFonts w:ascii="Arial Narrow" w:hAnsi="Arial Narrow"/>
          <w:sz w:val="22"/>
          <w:szCs w:val="22"/>
        </w:rPr>
        <w:t>hindamisskaalal:</w:t>
      </w:r>
      <w:r w:rsidR="00401D8D" w:rsidRPr="00EE23D0">
        <w:rPr>
          <w:rFonts w:ascii="Arial Narrow" w:hAnsi="Arial Narrow"/>
          <w:sz w:val="22"/>
          <w:szCs w:val="22"/>
        </w:rPr>
        <w:t xml:space="preserve"> </w:t>
      </w:r>
    </w:p>
    <w:p w14:paraId="3931388A" w14:textId="77777777" w:rsidR="00891732" w:rsidRDefault="00E82863" w:rsidP="00891732">
      <w:pPr>
        <w:pStyle w:val="Default"/>
        <w:numPr>
          <w:ilvl w:val="0"/>
          <w:numId w:val="33"/>
        </w:numPr>
        <w:rPr>
          <w:rFonts w:ascii="Arial Narrow" w:hAnsi="Arial Narrow"/>
          <w:sz w:val="22"/>
          <w:szCs w:val="22"/>
        </w:rPr>
      </w:pPr>
      <w:r w:rsidRPr="00EE23D0">
        <w:rPr>
          <w:rFonts w:ascii="Arial Narrow" w:hAnsi="Arial Narrow"/>
          <w:sz w:val="22"/>
          <w:szCs w:val="22"/>
        </w:rPr>
        <w:t>väga hea (</w:t>
      </w:r>
      <w:proofErr w:type="spellStart"/>
      <w:r w:rsidRPr="00EE23D0">
        <w:rPr>
          <w:rFonts w:ascii="Arial Narrow" w:hAnsi="Arial Narrow"/>
          <w:i/>
          <w:sz w:val="22"/>
          <w:szCs w:val="22"/>
        </w:rPr>
        <w:t>very</w:t>
      </w:r>
      <w:proofErr w:type="spellEnd"/>
      <w:r w:rsidRPr="00EE23D0">
        <w:rPr>
          <w:rFonts w:ascii="Arial Narrow" w:hAnsi="Arial Narrow"/>
          <w:i/>
          <w:sz w:val="22"/>
          <w:szCs w:val="22"/>
        </w:rPr>
        <w:t xml:space="preserve"> </w:t>
      </w:r>
      <w:proofErr w:type="spellStart"/>
      <w:r w:rsidRPr="00EE23D0">
        <w:rPr>
          <w:rFonts w:ascii="Arial Narrow" w:hAnsi="Arial Narrow"/>
          <w:i/>
          <w:sz w:val="22"/>
          <w:szCs w:val="22"/>
        </w:rPr>
        <w:t>good</w:t>
      </w:r>
      <w:proofErr w:type="spellEnd"/>
      <w:r w:rsidRPr="00EE23D0">
        <w:rPr>
          <w:rFonts w:ascii="Arial Narrow" w:hAnsi="Arial Narrow"/>
          <w:sz w:val="22"/>
          <w:szCs w:val="22"/>
        </w:rPr>
        <w:t>)</w:t>
      </w:r>
    </w:p>
    <w:p w14:paraId="0F32C68F" w14:textId="77777777" w:rsidR="00891732" w:rsidRDefault="00E82863" w:rsidP="00891732">
      <w:pPr>
        <w:pStyle w:val="Default"/>
        <w:numPr>
          <w:ilvl w:val="0"/>
          <w:numId w:val="33"/>
        </w:numPr>
        <w:rPr>
          <w:rFonts w:ascii="Arial Narrow" w:hAnsi="Arial Narrow"/>
          <w:sz w:val="22"/>
          <w:szCs w:val="22"/>
        </w:rPr>
      </w:pPr>
      <w:r w:rsidRPr="00891732">
        <w:rPr>
          <w:rFonts w:ascii="Arial Narrow" w:hAnsi="Arial Narrow"/>
          <w:sz w:val="22"/>
          <w:szCs w:val="22"/>
        </w:rPr>
        <w:t>hea (</w:t>
      </w:r>
      <w:proofErr w:type="spellStart"/>
      <w:r w:rsidRPr="00891732">
        <w:rPr>
          <w:rFonts w:ascii="Arial Narrow" w:hAnsi="Arial Narrow"/>
          <w:i/>
          <w:sz w:val="22"/>
          <w:szCs w:val="22"/>
        </w:rPr>
        <w:t>good</w:t>
      </w:r>
      <w:proofErr w:type="spellEnd"/>
      <w:r w:rsidRPr="00891732">
        <w:rPr>
          <w:rFonts w:ascii="Arial Narrow" w:hAnsi="Arial Narrow"/>
          <w:sz w:val="22"/>
          <w:szCs w:val="22"/>
        </w:rPr>
        <w:t>)</w:t>
      </w:r>
    </w:p>
    <w:p w14:paraId="565DA4F8" w14:textId="77777777" w:rsidR="00891732" w:rsidRDefault="00E82863" w:rsidP="00891732">
      <w:pPr>
        <w:pStyle w:val="Default"/>
        <w:numPr>
          <w:ilvl w:val="0"/>
          <w:numId w:val="33"/>
        </w:numPr>
        <w:rPr>
          <w:rFonts w:ascii="Arial Narrow" w:hAnsi="Arial Narrow"/>
          <w:sz w:val="22"/>
          <w:szCs w:val="22"/>
        </w:rPr>
      </w:pPr>
      <w:r w:rsidRPr="00891732">
        <w:rPr>
          <w:rFonts w:ascii="Arial Narrow" w:hAnsi="Arial Narrow"/>
          <w:sz w:val="22"/>
          <w:szCs w:val="22"/>
        </w:rPr>
        <w:t>rahuldav (</w:t>
      </w:r>
      <w:proofErr w:type="spellStart"/>
      <w:r w:rsidR="00401D8D" w:rsidRPr="00891732">
        <w:rPr>
          <w:rFonts w:ascii="Arial Narrow" w:hAnsi="Arial Narrow"/>
          <w:i/>
          <w:sz w:val="22"/>
          <w:szCs w:val="22"/>
        </w:rPr>
        <w:t>satisfactory</w:t>
      </w:r>
      <w:proofErr w:type="spellEnd"/>
      <w:r w:rsidRPr="00891732">
        <w:rPr>
          <w:rFonts w:ascii="Arial Narrow" w:hAnsi="Arial Narrow"/>
          <w:sz w:val="22"/>
          <w:szCs w:val="22"/>
        </w:rPr>
        <w:t>)</w:t>
      </w:r>
    </w:p>
    <w:p w14:paraId="50C1FC76" w14:textId="618EA724" w:rsidR="00E82863" w:rsidRPr="00891732" w:rsidRDefault="00E82863" w:rsidP="00891732">
      <w:pPr>
        <w:pStyle w:val="Default"/>
        <w:numPr>
          <w:ilvl w:val="0"/>
          <w:numId w:val="33"/>
        </w:numPr>
        <w:rPr>
          <w:rFonts w:ascii="Arial Narrow" w:hAnsi="Arial Narrow"/>
          <w:sz w:val="22"/>
          <w:szCs w:val="22"/>
        </w:rPr>
      </w:pPr>
      <w:r w:rsidRPr="00891732">
        <w:rPr>
          <w:rFonts w:ascii="Arial Narrow" w:hAnsi="Arial Narrow"/>
          <w:sz w:val="22"/>
          <w:szCs w:val="22"/>
        </w:rPr>
        <w:t>mitterahuldav (</w:t>
      </w:r>
      <w:proofErr w:type="spellStart"/>
      <w:r w:rsidRPr="00891732">
        <w:rPr>
          <w:rFonts w:ascii="Arial Narrow" w:hAnsi="Arial Narrow"/>
          <w:i/>
          <w:sz w:val="22"/>
          <w:szCs w:val="22"/>
        </w:rPr>
        <w:t>unsatisfactory</w:t>
      </w:r>
      <w:proofErr w:type="spellEnd"/>
      <w:r w:rsidRPr="00891732">
        <w:rPr>
          <w:rFonts w:ascii="Arial Narrow" w:hAnsi="Arial Narrow"/>
          <w:sz w:val="22"/>
          <w:szCs w:val="22"/>
        </w:rPr>
        <w:t>)</w:t>
      </w:r>
    </w:p>
    <w:p w14:paraId="63094131" w14:textId="77777777" w:rsidR="00401D8D" w:rsidRDefault="00401D8D" w:rsidP="009F79DF">
      <w:pPr>
        <w:pStyle w:val="Default"/>
        <w:rPr>
          <w:rFonts w:ascii="Arial Narrow" w:hAnsi="Arial Narrow"/>
          <w:sz w:val="22"/>
          <w:szCs w:val="22"/>
        </w:rPr>
      </w:pPr>
    </w:p>
    <w:p w14:paraId="0AAD44D3" w14:textId="153A4CD2" w:rsidR="00025331" w:rsidRPr="00EE23D0" w:rsidRDefault="00025331" w:rsidP="00025331">
      <w:pPr>
        <w:jc w:val="both"/>
        <w:rPr>
          <w:rFonts w:ascii="Arial Narrow" w:hAnsi="Arial Narrow"/>
        </w:rPr>
      </w:pPr>
      <w:r>
        <w:rPr>
          <w:rFonts w:ascii="Arial Narrow" w:hAnsi="Arial Narrow"/>
        </w:rPr>
        <w:t xml:space="preserve">Komisjon peab hinnangut põhjendama. </w:t>
      </w:r>
    </w:p>
    <w:p w14:paraId="25248D84" w14:textId="6711E940" w:rsidR="005F70D9" w:rsidRDefault="005F70D9" w:rsidP="00401D8D">
      <w:pPr>
        <w:pStyle w:val="Default"/>
        <w:rPr>
          <w:rFonts w:ascii="Arial Narrow" w:hAnsi="Arial Narrow"/>
        </w:rPr>
      </w:pPr>
      <w:r>
        <w:rPr>
          <w:rFonts w:ascii="Arial Narrow" w:hAnsi="Arial Narrow"/>
          <w:sz w:val="22"/>
          <w:szCs w:val="22"/>
        </w:rPr>
        <w:t xml:space="preserve">Kriteeriumide lõikes antud hinnangute põhjal kujundab komisjon </w:t>
      </w:r>
      <w:r>
        <w:rPr>
          <w:rFonts w:ascii="Arial Narrow" w:hAnsi="Arial Narrow"/>
        </w:rPr>
        <w:t xml:space="preserve">koondhinnangu (vt allpool). </w:t>
      </w:r>
    </w:p>
    <w:p w14:paraId="352E2407" w14:textId="77777777" w:rsidR="005F70D9" w:rsidRPr="00EE23D0" w:rsidRDefault="005F70D9" w:rsidP="00401D8D">
      <w:pPr>
        <w:pStyle w:val="Default"/>
        <w:rPr>
          <w:rFonts w:ascii="Arial Narrow" w:hAnsi="Arial Narrow"/>
          <w:sz w:val="22"/>
          <w:szCs w:val="22"/>
        </w:rPr>
      </w:pPr>
    </w:p>
    <w:p w14:paraId="0C39E129" w14:textId="77777777" w:rsidR="003D67BD" w:rsidRPr="00EE23D0" w:rsidRDefault="00401D8D" w:rsidP="00401D8D">
      <w:pPr>
        <w:pStyle w:val="Default"/>
        <w:rPr>
          <w:rFonts w:ascii="Arial Narrow" w:hAnsi="Arial Narrow"/>
          <w:sz w:val="22"/>
          <w:szCs w:val="22"/>
        </w:rPr>
      </w:pPr>
      <w:r w:rsidRPr="00EE23D0">
        <w:rPr>
          <w:rFonts w:ascii="Arial Narrow" w:hAnsi="Arial Narrow"/>
          <w:sz w:val="22"/>
          <w:szCs w:val="22"/>
        </w:rPr>
        <w:t xml:space="preserve">Lisaks võib komisjon asutusele anda </w:t>
      </w:r>
    </w:p>
    <w:p w14:paraId="1919ACED" w14:textId="686D8FBC" w:rsidR="00401D8D" w:rsidRPr="00EE23D0" w:rsidRDefault="00401D8D" w:rsidP="003D67BD">
      <w:pPr>
        <w:pStyle w:val="Default"/>
        <w:numPr>
          <w:ilvl w:val="0"/>
          <w:numId w:val="17"/>
        </w:numPr>
        <w:rPr>
          <w:rFonts w:ascii="Arial Narrow" w:hAnsi="Arial Narrow"/>
          <w:sz w:val="22"/>
          <w:szCs w:val="22"/>
        </w:rPr>
      </w:pPr>
      <w:r w:rsidRPr="00EE23D0">
        <w:rPr>
          <w:rFonts w:ascii="Arial Narrow" w:hAnsi="Arial Narrow"/>
          <w:sz w:val="22"/>
          <w:szCs w:val="22"/>
        </w:rPr>
        <w:t xml:space="preserve">soovitusi </w:t>
      </w:r>
      <w:r w:rsidR="008F2D59">
        <w:rPr>
          <w:rFonts w:ascii="Arial Narrow" w:hAnsi="Arial Narrow"/>
          <w:sz w:val="22"/>
          <w:szCs w:val="22"/>
        </w:rPr>
        <w:t>(struktuuriüksusele, asutusele või riigile)</w:t>
      </w:r>
    </w:p>
    <w:p w14:paraId="58299D47" w14:textId="1103576B" w:rsidR="00401D8D" w:rsidRPr="00EE23D0" w:rsidRDefault="00401D8D" w:rsidP="003D67BD">
      <w:pPr>
        <w:pStyle w:val="Default"/>
        <w:numPr>
          <w:ilvl w:val="1"/>
          <w:numId w:val="17"/>
        </w:numPr>
        <w:rPr>
          <w:rFonts w:ascii="Arial Narrow" w:hAnsi="Arial Narrow"/>
          <w:sz w:val="22"/>
          <w:szCs w:val="22"/>
        </w:rPr>
      </w:pPr>
      <w:r w:rsidRPr="00EE23D0">
        <w:rPr>
          <w:rFonts w:ascii="Arial Narrow" w:hAnsi="Arial Narrow"/>
          <w:sz w:val="22"/>
          <w:szCs w:val="22"/>
        </w:rPr>
        <w:t>v</w:t>
      </w:r>
      <w:r w:rsidR="009F79DF" w:rsidRPr="00EE23D0">
        <w:rPr>
          <w:rFonts w:ascii="Arial Narrow" w:hAnsi="Arial Narrow"/>
          <w:sz w:val="22"/>
          <w:szCs w:val="22"/>
        </w:rPr>
        <w:t>aldkondliku teaduskorralduse, sh juhtimise</w:t>
      </w:r>
      <w:r w:rsidRPr="00EE23D0">
        <w:rPr>
          <w:rFonts w:ascii="Arial Narrow" w:hAnsi="Arial Narrow"/>
          <w:sz w:val="22"/>
          <w:szCs w:val="22"/>
        </w:rPr>
        <w:t xml:space="preserve"> tõhustamiseks;</w:t>
      </w:r>
      <w:r w:rsidR="009F79DF" w:rsidRPr="00EE23D0">
        <w:rPr>
          <w:rFonts w:ascii="Arial Narrow" w:hAnsi="Arial Narrow"/>
          <w:sz w:val="22"/>
          <w:szCs w:val="22"/>
        </w:rPr>
        <w:t xml:space="preserve"> </w:t>
      </w:r>
    </w:p>
    <w:p w14:paraId="44E40CB4" w14:textId="77777777" w:rsidR="00401D8D" w:rsidRPr="00EE23D0" w:rsidRDefault="009F79DF" w:rsidP="003D67BD">
      <w:pPr>
        <w:pStyle w:val="Default"/>
        <w:numPr>
          <w:ilvl w:val="1"/>
          <w:numId w:val="17"/>
        </w:numPr>
        <w:rPr>
          <w:rFonts w:ascii="Arial Narrow" w:hAnsi="Arial Narrow"/>
          <w:sz w:val="22"/>
          <w:szCs w:val="22"/>
        </w:rPr>
      </w:pPr>
      <w:r w:rsidRPr="00EE23D0">
        <w:rPr>
          <w:rFonts w:ascii="Arial Narrow" w:hAnsi="Arial Narrow"/>
          <w:sz w:val="22"/>
          <w:szCs w:val="22"/>
        </w:rPr>
        <w:t xml:space="preserve">koostööks siseriiklike ja välispartneritega; </w:t>
      </w:r>
    </w:p>
    <w:p w14:paraId="1B79062E" w14:textId="38AF033E" w:rsidR="00401D8D" w:rsidRPr="00EE23D0" w:rsidRDefault="009F79DF" w:rsidP="003D67BD">
      <w:pPr>
        <w:pStyle w:val="Default"/>
        <w:numPr>
          <w:ilvl w:val="1"/>
          <w:numId w:val="17"/>
        </w:numPr>
        <w:rPr>
          <w:rFonts w:ascii="Arial Narrow" w:hAnsi="Arial Narrow"/>
          <w:sz w:val="22"/>
          <w:szCs w:val="22"/>
        </w:rPr>
      </w:pPr>
      <w:r w:rsidRPr="00EE23D0">
        <w:rPr>
          <w:rFonts w:ascii="Arial Narrow" w:hAnsi="Arial Narrow"/>
          <w:sz w:val="22"/>
          <w:szCs w:val="22"/>
        </w:rPr>
        <w:t xml:space="preserve">TA sidustamiseks ühiskonnaga; </w:t>
      </w:r>
    </w:p>
    <w:p w14:paraId="1FB53A82" w14:textId="2D1C4255" w:rsidR="00401D8D" w:rsidRPr="00EE23D0" w:rsidRDefault="009F79DF" w:rsidP="003D67BD">
      <w:pPr>
        <w:pStyle w:val="Default"/>
        <w:numPr>
          <w:ilvl w:val="1"/>
          <w:numId w:val="17"/>
        </w:numPr>
        <w:rPr>
          <w:rFonts w:ascii="Arial Narrow" w:hAnsi="Arial Narrow"/>
          <w:sz w:val="22"/>
          <w:szCs w:val="22"/>
        </w:rPr>
      </w:pPr>
      <w:r w:rsidRPr="00EE23D0">
        <w:rPr>
          <w:rFonts w:ascii="Arial Narrow" w:hAnsi="Arial Narrow"/>
          <w:sz w:val="22"/>
          <w:szCs w:val="22"/>
        </w:rPr>
        <w:t>TA potentsiaali suurendamiseks;</w:t>
      </w:r>
    </w:p>
    <w:p w14:paraId="0793C207" w14:textId="3029846E" w:rsidR="00401D8D" w:rsidRPr="00EE23D0" w:rsidRDefault="009F79DF" w:rsidP="003D67BD">
      <w:pPr>
        <w:pStyle w:val="Default"/>
        <w:numPr>
          <w:ilvl w:val="1"/>
          <w:numId w:val="17"/>
        </w:numPr>
        <w:rPr>
          <w:rFonts w:ascii="Arial Narrow" w:hAnsi="Arial Narrow"/>
          <w:sz w:val="22"/>
          <w:szCs w:val="22"/>
        </w:rPr>
      </w:pPr>
      <w:r w:rsidRPr="00EE23D0">
        <w:rPr>
          <w:rFonts w:ascii="Arial Narrow" w:hAnsi="Arial Narrow"/>
          <w:sz w:val="22"/>
          <w:szCs w:val="22"/>
        </w:rPr>
        <w:t xml:space="preserve">valdkondliku TA edasiseks arendamiseks, sh vajalike muudatuste kaalumiseks struktuuriüksus(t)e, asutuse ja/või riigi tasandil; </w:t>
      </w:r>
    </w:p>
    <w:p w14:paraId="016A37A8" w14:textId="43CA49BA" w:rsidR="0079279C" w:rsidRPr="00EE23D0" w:rsidRDefault="009F79DF" w:rsidP="003D67BD">
      <w:pPr>
        <w:pStyle w:val="Default"/>
        <w:numPr>
          <w:ilvl w:val="1"/>
          <w:numId w:val="17"/>
        </w:numPr>
        <w:rPr>
          <w:rFonts w:ascii="Arial Narrow" w:hAnsi="Arial Narrow"/>
          <w:sz w:val="22"/>
          <w:szCs w:val="22"/>
        </w:rPr>
      </w:pPr>
      <w:r w:rsidRPr="00EE23D0">
        <w:rPr>
          <w:rFonts w:ascii="Arial Narrow" w:hAnsi="Arial Narrow"/>
          <w:sz w:val="22"/>
          <w:szCs w:val="22"/>
        </w:rPr>
        <w:t>muudes hindamiskomisjoni hinnangul olulisteks valdkondliku TA-ga seotud aspektides</w:t>
      </w:r>
      <w:r w:rsidR="0079279C" w:rsidRPr="00EE23D0">
        <w:rPr>
          <w:rFonts w:ascii="Arial Narrow" w:hAnsi="Arial Narrow"/>
          <w:sz w:val="22"/>
          <w:szCs w:val="22"/>
        </w:rPr>
        <w:t>;</w:t>
      </w:r>
    </w:p>
    <w:p w14:paraId="75CE675A" w14:textId="459868BD" w:rsidR="009F79DF" w:rsidRPr="00EE23D0" w:rsidRDefault="003D67BD" w:rsidP="0079279C">
      <w:pPr>
        <w:pStyle w:val="Default"/>
        <w:numPr>
          <w:ilvl w:val="0"/>
          <w:numId w:val="19"/>
        </w:numPr>
        <w:spacing w:after="27"/>
        <w:rPr>
          <w:rFonts w:ascii="Arial Narrow" w:hAnsi="Arial Narrow"/>
          <w:sz w:val="22"/>
          <w:szCs w:val="22"/>
        </w:rPr>
      </w:pPr>
      <w:r w:rsidRPr="00EE23D0">
        <w:rPr>
          <w:rFonts w:ascii="Arial Narrow" w:hAnsi="Arial Narrow"/>
          <w:sz w:val="22"/>
          <w:szCs w:val="22"/>
        </w:rPr>
        <w:t xml:space="preserve">tagasisidet </w:t>
      </w:r>
      <w:r w:rsidR="0079279C" w:rsidRPr="00EE23D0">
        <w:rPr>
          <w:rFonts w:ascii="Arial Narrow" w:hAnsi="Arial Narrow"/>
          <w:sz w:val="22"/>
          <w:szCs w:val="22"/>
        </w:rPr>
        <w:t>asutuse poolt eneseanalüüsi aruandes tagasisidestamiseks märgitud täiendavatele aspektidele</w:t>
      </w:r>
      <w:r w:rsidR="009F79DF" w:rsidRPr="00EE23D0">
        <w:rPr>
          <w:rFonts w:ascii="Arial Narrow" w:hAnsi="Arial Narrow"/>
          <w:sz w:val="22"/>
          <w:szCs w:val="22"/>
        </w:rPr>
        <w:t>.</w:t>
      </w:r>
    </w:p>
    <w:p w14:paraId="2C7F2B2F" w14:textId="77777777" w:rsidR="003A42CD" w:rsidRPr="00EE23D0" w:rsidRDefault="003A42CD" w:rsidP="003A42CD">
      <w:pPr>
        <w:jc w:val="both"/>
        <w:rPr>
          <w:rFonts w:ascii="Arial Narrow" w:hAnsi="Arial Narrow"/>
          <w:b/>
        </w:rPr>
      </w:pPr>
    </w:p>
    <w:p w14:paraId="39FC9F63" w14:textId="77777777" w:rsidR="00DE69D6" w:rsidRPr="00EE23D0" w:rsidRDefault="00DE69D6" w:rsidP="00CC3F90">
      <w:pPr>
        <w:jc w:val="both"/>
        <w:rPr>
          <w:rFonts w:ascii="Arial Narrow" w:hAnsi="Arial Narrow"/>
          <w:b/>
        </w:rPr>
        <w:sectPr w:rsidR="00DE69D6" w:rsidRPr="00EE23D0">
          <w:pgSz w:w="11906" w:h="16838"/>
          <w:pgMar w:top="1417" w:right="1417" w:bottom="1417" w:left="1417" w:header="708" w:footer="708" w:gutter="0"/>
          <w:cols w:space="708"/>
          <w:docGrid w:linePitch="360"/>
        </w:sectPr>
      </w:pPr>
    </w:p>
    <w:p w14:paraId="5F33656E" w14:textId="0543241E" w:rsidR="002747CC" w:rsidRPr="00B11316" w:rsidRDefault="002747CC" w:rsidP="00B11316">
      <w:pPr>
        <w:pStyle w:val="Loendilik"/>
        <w:numPr>
          <w:ilvl w:val="0"/>
          <w:numId w:val="32"/>
        </w:numPr>
        <w:jc w:val="both"/>
        <w:rPr>
          <w:rFonts w:ascii="Arial Narrow" w:hAnsi="Arial Narrow"/>
          <w:b/>
        </w:rPr>
      </w:pPr>
      <w:r w:rsidRPr="00B11316">
        <w:rPr>
          <w:rFonts w:ascii="Arial Narrow" w:hAnsi="Arial Narrow"/>
          <w:b/>
        </w:rPr>
        <w:lastRenderedPageBreak/>
        <w:t>Hin</w:t>
      </w:r>
      <w:r w:rsidR="00401D8D" w:rsidRPr="00B11316">
        <w:rPr>
          <w:rFonts w:ascii="Arial Narrow" w:hAnsi="Arial Narrow"/>
          <w:b/>
        </w:rPr>
        <w:t xml:space="preserve">nangute kirjeldused kriteeriumide ja hinnete lõikes </w:t>
      </w:r>
    </w:p>
    <w:tbl>
      <w:tblPr>
        <w:tblStyle w:val="Kontuurtabel"/>
        <w:tblW w:w="14454" w:type="dxa"/>
        <w:tblLayout w:type="fixed"/>
        <w:tblLook w:val="04A0" w:firstRow="1" w:lastRow="0" w:firstColumn="1" w:lastColumn="0" w:noHBand="0" w:noVBand="1"/>
      </w:tblPr>
      <w:tblGrid>
        <w:gridCol w:w="1271"/>
        <w:gridCol w:w="4253"/>
        <w:gridCol w:w="4536"/>
        <w:gridCol w:w="4394"/>
      </w:tblGrid>
      <w:tr w:rsidR="00DE69D6" w:rsidRPr="00EE23D0" w14:paraId="4B76716E" w14:textId="77777777" w:rsidTr="00592287">
        <w:trPr>
          <w:trHeight w:val="577"/>
        </w:trPr>
        <w:tc>
          <w:tcPr>
            <w:tcW w:w="1271" w:type="dxa"/>
          </w:tcPr>
          <w:p w14:paraId="53751CCC" w14:textId="77777777" w:rsidR="00DE69D6" w:rsidRPr="00EE23D0" w:rsidRDefault="00DE69D6" w:rsidP="00592287">
            <w:pPr>
              <w:rPr>
                <w:rFonts w:ascii="Arial Narrow" w:hAnsi="Arial Narrow"/>
              </w:rPr>
            </w:pPr>
          </w:p>
        </w:tc>
        <w:tc>
          <w:tcPr>
            <w:tcW w:w="4253" w:type="dxa"/>
          </w:tcPr>
          <w:p w14:paraId="4EDE9A32" w14:textId="77777777" w:rsidR="00DE69D6" w:rsidRPr="00EE23D0" w:rsidRDefault="00DE69D6" w:rsidP="00592287">
            <w:pPr>
              <w:jc w:val="center"/>
              <w:rPr>
                <w:rFonts w:ascii="Arial Narrow" w:hAnsi="Arial Narrow"/>
                <w:b/>
              </w:rPr>
            </w:pPr>
            <w:r w:rsidRPr="00EE23D0">
              <w:rPr>
                <w:rFonts w:ascii="Arial Narrow" w:hAnsi="Arial Narrow"/>
                <w:b/>
              </w:rPr>
              <w:t>Teaduslik mõjukus</w:t>
            </w:r>
          </w:p>
        </w:tc>
        <w:tc>
          <w:tcPr>
            <w:tcW w:w="4536" w:type="dxa"/>
          </w:tcPr>
          <w:p w14:paraId="4CCE5312" w14:textId="77777777" w:rsidR="00DE69D6" w:rsidRPr="00EE23D0" w:rsidRDefault="00DE69D6" w:rsidP="00592287">
            <w:pPr>
              <w:jc w:val="center"/>
              <w:rPr>
                <w:rFonts w:ascii="Arial Narrow" w:hAnsi="Arial Narrow"/>
                <w:b/>
              </w:rPr>
            </w:pPr>
            <w:r w:rsidRPr="00EE23D0">
              <w:rPr>
                <w:rFonts w:ascii="Arial Narrow" w:hAnsi="Arial Narrow"/>
                <w:b/>
              </w:rPr>
              <w:t>Jätkusuutlikkus ja potentsiaal</w:t>
            </w:r>
          </w:p>
        </w:tc>
        <w:tc>
          <w:tcPr>
            <w:tcW w:w="4394" w:type="dxa"/>
          </w:tcPr>
          <w:p w14:paraId="2255AA64" w14:textId="77777777" w:rsidR="00DE69D6" w:rsidRPr="00EE23D0" w:rsidRDefault="00DE69D6" w:rsidP="00592287">
            <w:pPr>
              <w:jc w:val="center"/>
              <w:rPr>
                <w:rFonts w:ascii="Arial Narrow" w:hAnsi="Arial Narrow"/>
                <w:b/>
              </w:rPr>
            </w:pPr>
            <w:r w:rsidRPr="00EE23D0">
              <w:rPr>
                <w:rFonts w:ascii="Arial Narrow" w:hAnsi="Arial Narrow"/>
                <w:b/>
              </w:rPr>
              <w:t>Ühiskondlik mõjukus</w:t>
            </w:r>
          </w:p>
        </w:tc>
      </w:tr>
      <w:tr w:rsidR="00DE69D6" w:rsidRPr="00EE23D0" w14:paraId="0B037CD5" w14:textId="77777777" w:rsidTr="00592287">
        <w:trPr>
          <w:trHeight w:val="296"/>
        </w:trPr>
        <w:tc>
          <w:tcPr>
            <w:tcW w:w="1271" w:type="dxa"/>
          </w:tcPr>
          <w:p w14:paraId="19EA5E28" w14:textId="77777777" w:rsidR="00DE69D6" w:rsidRPr="00EE23D0" w:rsidRDefault="00DE69D6" w:rsidP="00592287">
            <w:pPr>
              <w:rPr>
                <w:rFonts w:ascii="Arial Narrow" w:hAnsi="Arial Narrow"/>
              </w:rPr>
            </w:pPr>
            <w:r w:rsidRPr="00EE23D0">
              <w:rPr>
                <w:rFonts w:ascii="Arial Narrow" w:hAnsi="Arial Narrow"/>
              </w:rPr>
              <w:t>Väga hea</w:t>
            </w:r>
          </w:p>
        </w:tc>
        <w:tc>
          <w:tcPr>
            <w:tcW w:w="4253" w:type="dxa"/>
          </w:tcPr>
          <w:p w14:paraId="4F2AEC29" w14:textId="5320E875" w:rsidR="00DE69D6" w:rsidRPr="00EE23D0" w:rsidRDefault="00DE69D6" w:rsidP="00592287">
            <w:pPr>
              <w:pStyle w:val="Default"/>
              <w:spacing w:after="27"/>
              <w:jc w:val="both"/>
              <w:rPr>
                <w:rFonts w:ascii="Arial Narrow" w:hAnsi="Arial Narrow"/>
                <w:sz w:val="22"/>
                <w:szCs w:val="22"/>
              </w:rPr>
            </w:pPr>
            <w:r w:rsidRPr="00EE23D0">
              <w:rPr>
                <w:rFonts w:ascii="Arial Narrow" w:hAnsi="Arial Narrow"/>
                <w:sz w:val="22"/>
                <w:szCs w:val="22"/>
              </w:rPr>
              <w:t xml:space="preserve">Valdav osa TA tulemustest on kõrgel rahvusvahelisel tasemel: tulemused äratavad </w:t>
            </w:r>
            <w:r w:rsidR="00BC3CB1">
              <w:rPr>
                <w:rFonts w:ascii="Arial Narrow" w:hAnsi="Arial Narrow"/>
                <w:sz w:val="22"/>
                <w:szCs w:val="22"/>
              </w:rPr>
              <w:t xml:space="preserve">valdkonnas </w:t>
            </w:r>
            <w:r w:rsidRPr="00EE23D0">
              <w:rPr>
                <w:rFonts w:ascii="Arial Narrow" w:hAnsi="Arial Narrow"/>
                <w:sz w:val="22"/>
                <w:szCs w:val="22"/>
              </w:rPr>
              <w:t>tõsist rahvusvahelis</w:t>
            </w:r>
            <w:r w:rsidR="00BC3CB1">
              <w:rPr>
                <w:rFonts w:ascii="Arial Narrow" w:hAnsi="Arial Narrow"/>
                <w:sz w:val="22"/>
                <w:szCs w:val="22"/>
              </w:rPr>
              <w:t>t huvi</w:t>
            </w:r>
            <w:r w:rsidR="004B0BD8">
              <w:rPr>
                <w:rFonts w:ascii="Arial Narrow" w:hAnsi="Arial Narrow"/>
                <w:sz w:val="22"/>
                <w:szCs w:val="22"/>
              </w:rPr>
              <w:t>.</w:t>
            </w:r>
            <w:r w:rsidRPr="00EE23D0">
              <w:rPr>
                <w:rFonts w:ascii="Arial Narrow" w:hAnsi="Arial Narrow"/>
                <w:sz w:val="22"/>
                <w:szCs w:val="22"/>
              </w:rPr>
              <w:t xml:space="preserve"> </w:t>
            </w:r>
            <w:r w:rsidR="004B0BD8">
              <w:rPr>
                <w:rFonts w:ascii="Arial Narrow" w:hAnsi="Arial Narrow"/>
                <w:sz w:val="22"/>
                <w:szCs w:val="22"/>
              </w:rPr>
              <w:t>Publikatsioonid</w:t>
            </w:r>
            <w:r w:rsidR="004B0BD8" w:rsidRPr="00EE23D0">
              <w:rPr>
                <w:rFonts w:ascii="Arial Narrow" w:hAnsi="Arial Narrow"/>
                <w:sz w:val="22"/>
                <w:szCs w:val="22"/>
              </w:rPr>
              <w:t xml:space="preserve"> </w:t>
            </w:r>
            <w:r w:rsidRPr="00EE23D0">
              <w:rPr>
                <w:rFonts w:ascii="Arial Narrow" w:hAnsi="Arial Narrow"/>
                <w:sz w:val="22"/>
                <w:szCs w:val="22"/>
              </w:rPr>
              <w:t>on avaldatud juhtivate rahvusvaheliste kirjastuste poolt ja/või rahvusvahelistes tunnustatud erialastes ajakirjades.</w:t>
            </w:r>
            <w:r w:rsidR="005C3CA4">
              <w:rPr>
                <w:rFonts w:ascii="Arial Narrow" w:hAnsi="Arial Narrow"/>
                <w:sz w:val="22"/>
                <w:szCs w:val="22"/>
              </w:rPr>
              <w:t xml:space="preserve"> </w:t>
            </w:r>
            <w:r w:rsidR="00C228F3">
              <w:rPr>
                <w:rFonts w:ascii="Arial Narrow" w:hAnsi="Arial Narrow"/>
                <w:sz w:val="22"/>
                <w:szCs w:val="22"/>
              </w:rPr>
              <w:t>P</w:t>
            </w:r>
            <w:r w:rsidR="005C3CA4">
              <w:rPr>
                <w:rFonts w:ascii="Arial Narrow" w:hAnsi="Arial Narrow"/>
                <w:sz w:val="22"/>
                <w:szCs w:val="22"/>
              </w:rPr>
              <w:t xml:space="preserve">ublikatsioonide arv TA-töötaja kohta </w:t>
            </w:r>
            <w:r w:rsidR="00C228F3">
              <w:rPr>
                <w:rFonts w:ascii="Arial Narrow" w:hAnsi="Arial Narrow"/>
                <w:sz w:val="22"/>
                <w:szCs w:val="22"/>
              </w:rPr>
              <w:t xml:space="preserve">ning publikatsioonide </w:t>
            </w:r>
            <w:proofErr w:type="spellStart"/>
            <w:r w:rsidR="00C228F3">
              <w:rPr>
                <w:rFonts w:ascii="Arial Narrow" w:hAnsi="Arial Narrow"/>
                <w:sz w:val="22"/>
                <w:szCs w:val="22"/>
              </w:rPr>
              <w:t>bibliomeetrilised</w:t>
            </w:r>
            <w:proofErr w:type="spellEnd"/>
            <w:r w:rsidR="00C228F3">
              <w:rPr>
                <w:rFonts w:ascii="Arial Narrow" w:hAnsi="Arial Narrow"/>
                <w:sz w:val="22"/>
                <w:szCs w:val="22"/>
              </w:rPr>
              <w:t xml:space="preserve"> näitajad annavad tunnistust</w:t>
            </w:r>
            <w:r w:rsidR="005C3CA4">
              <w:rPr>
                <w:rFonts w:ascii="Arial Narrow" w:hAnsi="Arial Narrow"/>
                <w:sz w:val="22"/>
                <w:szCs w:val="22"/>
              </w:rPr>
              <w:t xml:space="preserve"> TA ühtlaselt kõrge</w:t>
            </w:r>
            <w:r w:rsidR="00C228F3">
              <w:rPr>
                <w:rFonts w:ascii="Arial Narrow" w:hAnsi="Arial Narrow"/>
                <w:sz w:val="22"/>
                <w:szCs w:val="22"/>
              </w:rPr>
              <w:t>s</w:t>
            </w:r>
            <w:r w:rsidR="005C3CA4">
              <w:rPr>
                <w:rFonts w:ascii="Arial Narrow" w:hAnsi="Arial Narrow"/>
                <w:sz w:val="22"/>
                <w:szCs w:val="22"/>
              </w:rPr>
              <w:t>t tase</w:t>
            </w:r>
            <w:r w:rsidR="00C228F3">
              <w:rPr>
                <w:rFonts w:ascii="Arial Narrow" w:hAnsi="Arial Narrow"/>
                <w:sz w:val="22"/>
                <w:szCs w:val="22"/>
              </w:rPr>
              <w:t>mes</w:t>
            </w:r>
            <w:r w:rsidR="005C3CA4">
              <w:rPr>
                <w:rFonts w:ascii="Arial Narrow" w:hAnsi="Arial Narrow"/>
                <w:sz w:val="22"/>
                <w:szCs w:val="22"/>
              </w:rPr>
              <w:t>t.</w:t>
            </w:r>
            <w:r w:rsidRPr="00EE23D0">
              <w:rPr>
                <w:rFonts w:ascii="Arial Narrow" w:hAnsi="Arial Narrow"/>
                <w:sz w:val="22"/>
                <w:szCs w:val="22"/>
              </w:rPr>
              <w:t xml:space="preserve"> </w:t>
            </w:r>
            <w:r w:rsidR="00B72313" w:rsidRPr="00EE23D0">
              <w:rPr>
                <w:rFonts w:ascii="Arial Narrow" w:hAnsi="Arial Narrow"/>
              </w:rPr>
              <w:t xml:space="preserve">Asutuse </w:t>
            </w:r>
            <w:r w:rsidR="00B72313">
              <w:rPr>
                <w:rFonts w:ascii="Arial Narrow" w:hAnsi="Arial Narrow"/>
              </w:rPr>
              <w:t xml:space="preserve">poolt esitatud täiendavad faktid kinnitavad </w:t>
            </w:r>
            <w:r w:rsidR="00B72313" w:rsidRPr="00EE23D0">
              <w:rPr>
                <w:rFonts w:ascii="Arial Narrow" w:hAnsi="Arial Narrow"/>
              </w:rPr>
              <w:t xml:space="preserve">TA </w:t>
            </w:r>
            <w:r w:rsidR="00B72313">
              <w:rPr>
                <w:rFonts w:ascii="Arial Narrow" w:hAnsi="Arial Narrow"/>
              </w:rPr>
              <w:t>suurt</w:t>
            </w:r>
            <w:r w:rsidR="00B72313" w:rsidRPr="00EE23D0">
              <w:rPr>
                <w:rFonts w:ascii="Arial Narrow" w:hAnsi="Arial Narrow"/>
              </w:rPr>
              <w:t xml:space="preserve"> </w:t>
            </w:r>
            <w:r w:rsidR="00B72313">
              <w:rPr>
                <w:rFonts w:ascii="Arial Narrow" w:hAnsi="Arial Narrow"/>
              </w:rPr>
              <w:t>teaduslikku</w:t>
            </w:r>
            <w:r w:rsidR="00B72313" w:rsidRPr="00EE23D0">
              <w:rPr>
                <w:rFonts w:ascii="Arial Narrow" w:hAnsi="Arial Narrow"/>
              </w:rPr>
              <w:t xml:space="preserve"> mõju</w:t>
            </w:r>
            <w:r w:rsidR="00B72313">
              <w:rPr>
                <w:rFonts w:ascii="Arial Narrow" w:hAnsi="Arial Narrow"/>
              </w:rPr>
              <w:t>kust.</w:t>
            </w:r>
          </w:p>
          <w:p w14:paraId="739B4A2E" w14:textId="77777777" w:rsidR="00DE69D6" w:rsidRPr="00EE23D0" w:rsidRDefault="00DE69D6" w:rsidP="00592287">
            <w:pPr>
              <w:pStyle w:val="Default"/>
              <w:spacing w:after="27"/>
              <w:jc w:val="both"/>
              <w:rPr>
                <w:rFonts w:ascii="Arial Narrow" w:hAnsi="Arial Narrow"/>
                <w:sz w:val="22"/>
                <w:szCs w:val="22"/>
              </w:rPr>
            </w:pPr>
          </w:p>
          <w:p w14:paraId="2779C498" w14:textId="77777777" w:rsidR="00DE69D6" w:rsidRPr="00EE23D0" w:rsidRDefault="00DE69D6" w:rsidP="00592287">
            <w:pPr>
              <w:pStyle w:val="Default"/>
              <w:spacing w:after="27"/>
              <w:jc w:val="both"/>
              <w:rPr>
                <w:rFonts w:ascii="Arial Narrow" w:hAnsi="Arial Narrow"/>
                <w:sz w:val="22"/>
                <w:szCs w:val="22"/>
              </w:rPr>
            </w:pPr>
          </w:p>
          <w:p w14:paraId="0577B4B1" w14:textId="77777777" w:rsidR="00DE69D6" w:rsidRPr="00EE23D0" w:rsidRDefault="00DE69D6" w:rsidP="00592287">
            <w:pPr>
              <w:pStyle w:val="Default"/>
              <w:spacing w:after="27"/>
              <w:jc w:val="both"/>
              <w:rPr>
                <w:rFonts w:ascii="Arial Narrow" w:hAnsi="Arial Narrow"/>
                <w:sz w:val="22"/>
                <w:szCs w:val="22"/>
              </w:rPr>
            </w:pPr>
          </w:p>
          <w:p w14:paraId="5C5BA9FD" w14:textId="77777777" w:rsidR="00DE69D6" w:rsidRPr="00EE23D0" w:rsidRDefault="00DE69D6" w:rsidP="00592287">
            <w:pPr>
              <w:pStyle w:val="Default"/>
              <w:spacing w:after="27"/>
              <w:jc w:val="both"/>
              <w:rPr>
                <w:rFonts w:ascii="Arial Narrow" w:hAnsi="Arial Narrow"/>
                <w:sz w:val="22"/>
                <w:szCs w:val="22"/>
              </w:rPr>
            </w:pPr>
          </w:p>
          <w:p w14:paraId="439537E3" w14:textId="77777777" w:rsidR="00DE69D6" w:rsidRPr="00EE23D0" w:rsidRDefault="00DE69D6" w:rsidP="00592287">
            <w:pPr>
              <w:rPr>
                <w:rFonts w:ascii="Arial Narrow" w:hAnsi="Arial Narrow"/>
              </w:rPr>
            </w:pPr>
          </w:p>
        </w:tc>
        <w:tc>
          <w:tcPr>
            <w:tcW w:w="4536" w:type="dxa"/>
          </w:tcPr>
          <w:p w14:paraId="4E8DC54C" w14:textId="1711A3C3" w:rsidR="00DE69D6" w:rsidRDefault="00DE69D6" w:rsidP="00592287">
            <w:pPr>
              <w:rPr>
                <w:rFonts w:ascii="Arial Narrow" w:hAnsi="Arial Narrow"/>
              </w:rPr>
            </w:pPr>
            <w:r w:rsidRPr="00EE23D0">
              <w:rPr>
                <w:rFonts w:ascii="Arial Narrow" w:hAnsi="Arial Narrow"/>
              </w:rPr>
              <w:t xml:space="preserve">TA korraldus ja juhtimine on selge ja toimiv ning arvestab valdkondlikku spetsiifikat. Valdkonna </w:t>
            </w:r>
            <w:proofErr w:type="spellStart"/>
            <w:r w:rsidRPr="00EE23D0">
              <w:rPr>
                <w:rFonts w:ascii="Arial Narrow" w:hAnsi="Arial Narrow"/>
              </w:rPr>
              <w:t>rahastuse</w:t>
            </w:r>
            <w:proofErr w:type="spellEnd"/>
            <w:r w:rsidRPr="00EE23D0">
              <w:rPr>
                <w:rFonts w:ascii="Arial Narrow" w:hAnsi="Arial Narrow"/>
              </w:rPr>
              <w:t xml:space="preserve"> tagamise meetmed, </w:t>
            </w:r>
            <w:proofErr w:type="spellStart"/>
            <w:r w:rsidRPr="00EE23D0">
              <w:rPr>
                <w:rFonts w:ascii="Arial Narrow" w:hAnsi="Arial Narrow"/>
              </w:rPr>
              <w:t>rahastuse</w:t>
            </w:r>
            <w:proofErr w:type="spellEnd"/>
            <w:r w:rsidRPr="00EE23D0">
              <w:rPr>
                <w:rFonts w:ascii="Arial Narrow" w:hAnsi="Arial Narrow"/>
              </w:rPr>
              <w:t xml:space="preserve"> maht ja struktuur ning TA-töötajate </w:t>
            </w:r>
            <w:r w:rsidR="004A4E7F">
              <w:rPr>
                <w:rFonts w:ascii="Arial Narrow" w:hAnsi="Arial Narrow"/>
              </w:rPr>
              <w:t>sooline, vanuseline ja rahvusvaheline mitmekesisus</w:t>
            </w:r>
            <w:r w:rsidRPr="00EE23D0">
              <w:rPr>
                <w:rFonts w:ascii="Arial Narrow" w:hAnsi="Arial Narrow"/>
              </w:rPr>
              <w:t xml:space="preserve"> annavad tunnistust TA jätkusuutlikkusest tulevikuperspektiivis. </w:t>
            </w:r>
          </w:p>
          <w:p w14:paraId="6BDE2A27" w14:textId="77777777" w:rsidR="00B72313" w:rsidRPr="00EE23D0" w:rsidRDefault="00B72313" w:rsidP="00592287">
            <w:pPr>
              <w:rPr>
                <w:rFonts w:ascii="Arial Narrow" w:hAnsi="Arial Narrow"/>
              </w:rPr>
            </w:pPr>
          </w:p>
          <w:p w14:paraId="66A17B59" w14:textId="77777777" w:rsidR="004B0BD8" w:rsidRDefault="004B0BD8" w:rsidP="004B0BD8">
            <w:pPr>
              <w:pStyle w:val="Default"/>
              <w:spacing w:after="27"/>
              <w:jc w:val="both"/>
              <w:rPr>
                <w:rFonts w:ascii="Arial Narrow" w:hAnsi="Arial Narrow"/>
                <w:sz w:val="22"/>
                <w:szCs w:val="22"/>
              </w:rPr>
            </w:pPr>
            <w:r w:rsidRPr="00EE23D0">
              <w:rPr>
                <w:rFonts w:ascii="Arial Narrow" w:hAnsi="Arial Narrow"/>
              </w:rPr>
              <w:t xml:space="preserve">Asutusel on valdkonna arendamisel selge ja fokuseeritud nägemus valdkonna </w:t>
            </w:r>
            <w:r>
              <w:rPr>
                <w:rFonts w:ascii="Arial Narrow" w:hAnsi="Arial Narrow"/>
              </w:rPr>
              <w:t xml:space="preserve">jätkusuutlikkuse ja </w:t>
            </w:r>
            <w:r w:rsidRPr="00EE23D0">
              <w:rPr>
                <w:rFonts w:ascii="Arial Narrow" w:hAnsi="Arial Narrow"/>
              </w:rPr>
              <w:t xml:space="preserve">potentsiaali tugevdamiseks. Uurimissuundadel on </w:t>
            </w:r>
            <w:r>
              <w:rPr>
                <w:rFonts w:ascii="Arial Narrow" w:hAnsi="Arial Narrow"/>
              </w:rPr>
              <w:t>selgesti väljendunud</w:t>
            </w:r>
            <w:r w:rsidRPr="00EE23D0">
              <w:rPr>
                <w:rFonts w:ascii="Arial Narrow" w:hAnsi="Arial Narrow"/>
              </w:rPr>
              <w:t xml:space="preserve"> potentsiaal teaduslikust, </w:t>
            </w:r>
            <w:proofErr w:type="spellStart"/>
            <w:r w:rsidRPr="00EE23D0">
              <w:rPr>
                <w:rFonts w:ascii="Arial Narrow" w:hAnsi="Arial Narrow"/>
              </w:rPr>
              <w:t>sotsiaal-majanduslikust</w:t>
            </w:r>
            <w:proofErr w:type="spellEnd"/>
            <w:r w:rsidRPr="00EE23D0">
              <w:rPr>
                <w:rFonts w:ascii="Arial Narrow" w:hAnsi="Arial Narrow"/>
              </w:rPr>
              <w:t xml:space="preserve"> ja/või keskkonna perspektiivist.</w:t>
            </w:r>
            <w:r>
              <w:rPr>
                <w:rFonts w:ascii="Arial Narrow" w:hAnsi="Arial Narrow"/>
                <w:sz w:val="22"/>
                <w:szCs w:val="22"/>
              </w:rPr>
              <w:t xml:space="preserve"> </w:t>
            </w:r>
          </w:p>
          <w:p w14:paraId="2FD6D98A" w14:textId="77777777" w:rsidR="00DE69D6" w:rsidRPr="00EE23D0" w:rsidRDefault="00DE69D6" w:rsidP="00592287">
            <w:pPr>
              <w:rPr>
                <w:rFonts w:ascii="Arial Narrow" w:hAnsi="Arial Narrow"/>
              </w:rPr>
            </w:pPr>
          </w:p>
          <w:p w14:paraId="6064504F" w14:textId="6FBB7A4F" w:rsidR="00DE69D6" w:rsidRPr="00EE23D0" w:rsidRDefault="00DE69D6" w:rsidP="00592287">
            <w:pPr>
              <w:rPr>
                <w:rFonts w:ascii="Arial Narrow" w:hAnsi="Arial Narrow"/>
              </w:rPr>
            </w:pPr>
            <w:r w:rsidRPr="00EE23D0">
              <w:rPr>
                <w:rFonts w:ascii="Arial Narrow" w:hAnsi="Arial Narrow"/>
              </w:rPr>
              <w:t>Taristu on silmapaistvalt heas seisuko</w:t>
            </w:r>
            <w:r w:rsidR="00891732">
              <w:rPr>
                <w:rFonts w:ascii="Arial Narrow" w:hAnsi="Arial Narrow"/>
              </w:rPr>
              <w:t>rras ja loob valdkondlikuks TA-</w:t>
            </w:r>
            <w:r w:rsidRPr="00EE23D0">
              <w:rPr>
                <w:rFonts w:ascii="Arial Narrow" w:hAnsi="Arial Narrow"/>
              </w:rPr>
              <w:t xml:space="preserve">ks </w:t>
            </w:r>
            <w:r w:rsidR="008A0D40">
              <w:rPr>
                <w:rFonts w:ascii="Arial Narrow" w:hAnsi="Arial Narrow"/>
              </w:rPr>
              <w:t xml:space="preserve">ja doktoriõppe läbiviimiseks (ülikoolide puhul) </w:t>
            </w:r>
            <w:r w:rsidRPr="00EE23D0">
              <w:rPr>
                <w:rFonts w:ascii="Arial Narrow" w:hAnsi="Arial Narrow"/>
              </w:rPr>
              <w:t xml:space="preserve">väga head tingimused. </w:t>
            </w:r>
          </w:p>
          <w:p w14:paraId="0369C3FD" w14:textId="77777777" w:rsidR="00DE69D6" w:rsidRPr="00EE23D0" w:rsidRDefault="00DE69D6" w:rsidP="00592287">
            <w:pPr>
              <w:rPr>
                <w:rFonts w:ascii="Arial Narrow" w:hAnsi="Arial Narrow"/>
              </w:rPr>
            </w:pPr>
          </w:p>
          <w:p w14:paraId="312EDB1A" w14:textId="3059A956" w:rsidR="004D3E49" w:rsidRPr="00EE23D0" w:rsidRDefault="004D3E49" w:rsidP="004D3E49">
            <w:pPr>
              <w:pStyle w:val="Default"/>
              <w:spacing w:after="27"/>
              <w:jc w:val="both"/>
              <w:rPr>
                <w:rFonts w:ascii="Arial Narrow" w:hAnsi="Arial Narrow"/>
                <w:sz w:val="22"/>
                <w:szCs w:val="22"/>
              </w:rPr>
            </w:pPr>
            <w:r>
              <w:rPr>
                <w:rFonts w:ascii="Arial Narrow" w:hAnsi="Arial Narrow"/>
                <w:sz w:val="22"/>
                <w:szCs w:val="22"/>
              </w:rPr>
              <w:t>(Ülikoolide puhul) Kõigi valdkonnaga seotud doktoriõppekavade aluseks olev TA on kõrgel rahvusvahelisel tasemel.</w:t>
            </w:r>
          </w:p>
          <w:p w14:paraId="0B9079DC" w14:textId="7A035467" w:rsidR="00DE69D6" w:rsidRPr="00EE23D0" w:rsidRDefault="00DE69D6" w:rsidP="00697768">
            <w:pPr>
              <w:rPr>
                <w:rFonts w:ascii="Arial Narrow" w:hAnsi="Arial Narrow"/>
              </w:rPr>
            </w:pPr>
          </w:p>
        </w:tc>
        <w:tc>
          <w:tcPr>
            <w:tcW w:w="4394" w:type="dxa"/>
          </w:tcPr>
          <w:p w14:paraId="409FA232" w14:textId="680850E2" w:rsidR="00DE69D6" w:rsidRPr="00697768" w:rsidRDefault="00DE69D6" w:rsidP="00592287">
            <w:pPr>
              <w:rPr>
                <w:rFonts w:ascii="Arial Narrow" w:hAnsi="Arial Narrow"/>
                <w:color w:val="000000" w:themeColor="text1"/>
              </w:rPr>
            </w:pPr>
            <w:r w:rsidRPr="00EE23D0">
              <w:rPr>
                <w:rFonts w:ascii="Arial Narrow" w:hAnsi="Arial Narrow"/>
              </w:rPr>
              <w:t>Valdkonna TA</w:t>
            </w:r>
            <w:r w:rsidR="00891732">
              <w:rPr>
                <w:rFonts w:ascii="Arial Narrow" w:hAnsi="Arial Narrow"/>
              </w:rPr>
              <w:t>-</w:t>
            </w:r>
            <w:r w:rsidRPr="00EE23D0">
              <w:rPr>
                <w:rFonts w:ascii="Arial Narrow" w:hAnsi="Arial Narrow"/>
              </w:rPr>
              <w:t xml:space="preserve">s arvestatakse ühiskonna arengutrendide ja -vajadustega (nt aktuaalsete teemade uurimise või tellitud rakendusuuringute kaudu, TA-töötajate osalemise kaudu </w:t>
            </w:r>
            <w:r w:rsidRPr="00697768">
              <w:rPr>
                <w:rFonts w:ascii="Arial Narrow" w:hAnsi="Arial Narrow"/>
                <w:color w:val="000000" w:themeColor="text1"/>
              </w:rPr>
              <w:t>asutusevälistes olulistes arendus- ja otsustuskogudes</w:t>
            </w:r>
            <w:r w:rsidR="00697768" w:rsidRPr="00697768">
              <w:rPr>
                <w:rFonts w:ascii="Arial Narrow" w:hAnsi="Arial Narrow"/>
                <w:color w:val="000000" w:themeColor="text1"/>
              </w:rPr>
              <w:t>, TA-tulemuste põhjal toimunud oluliste ühiskondlike arengute näol</w:t>
            </w:r>
            <w:r w:rsidRPr="00697768">
              <w:rPr>
                <w:rFonts w:ascii="Arial Narrow" w:hAnsi="Arial Narrow"/>
                <w:color w:val="000000" w:themeColor="text1"/>
              </w:rPr>
              <w:t xml:space="preserve"> jms).  </w:t>
            </w:r>
          </w:p>
          <w:p w14:paraId="471E379F" w14:textId="12EDEF8C" w:rsidR="00DE69D6" w:rsidRPr="00EE23D0" w:rsidRDefault="00DE69D6" w:rsidP="00592287">
            <w:pPr>
              <w:rPr>
                <w:rFonts w:ascii="Arial Narrow" w:hAnsi="Arial Narrow"/>
              </w:rPr>
            </w:pPr>
            <w:r w:rsidRPr="00EE23D0">
              <w:rPr>
                <w:rFonts w:ascii="Arial Narrow" w:hAnsi="Arial Narrow"/>
              </w:rPr>
              <w:t xml:space="preserve">Valdkonna TA-töötajad </w:t>
            </w:r>
            <w:r w:rsidR="004A4E7F">
              <w:rPr>
                <w:rFonts w:ascii="Arial Narrow" w:hAnsi="Arial Narrow"/>
              </w:rPr>
              <w:t xml:space="preserve">on </w:t>
            </w:r>
            <w:proofErr w:type="spellStart"/>
            <w:r w:rsidRPr="00EE23D0">
              <w:rPr>
                <w:rFonts w:ascii="Arial Narrow" w:hAnsi="Arial Narrow"/>
              </w:rPr>
              <w:t>proaktiivsed</w:t>
            </w:r>
            <w:proofErr w:type="spellEnd"/>
            <w:r w:rsidRPr="00EE23D0">
              <w:rPr>
                <w:rFonts w:ascii="Arial Narrow" w:hAnsi="Arial Narrow"/>
              </w:rPr>
              <w:t xml:space="preserve"> ühiskondlikult ja globaalselt oluliste teemade uurimisel, küsimuste püstitamisel ja diskussioonide algatamisel.</w:t>
            </w:r>
          </w:p>
          <w:p w14:paraId="6D48B855" w14:textId="77777777" w:rsidR="00DE69D6" w:rsidRPr="00EE23D0" w:rsidRDefault="00DE69D6" w:rsidP="00592287">
            <w:pPr>
              <w:rPr>
                <w:rFonts w:ascii="Arial Narrow" w:hAnsi="Arial Narrow"/>
              </w:rPr>
            </w:pPr>
          </w:p>
          <w:p w14:paraId="19D49276" w14:textId="707945B7" w:rsidR="00DE69D6" w:rsidRPr="00EE23D0" w:rsidRDefault="00DE69D6" w:rsidP="00891732">
            <w:pPr>
              <w:rPr>
                <w:rFonts w:ascii="Arial Narrow" w:hAnsi="Arial Narrow"/>
              </w:rPr>
            </w:pPr>
            <w:r w:rsidRPr="00EE23D0">
              <w:rPr>
                <w:rFonts w:ascii="Arial Narrow" w:hAnsi="Arial Narrow"/>
              </w:rPr>
              <w:t xml:space="preserve">Asutus väärtustab TA suunamisel </w:t>
            </w:r>
            <w:r w:rsidR="00BB24F9">
              <w:rPr>
                <w:rFonts w:ascii="Arial Narrow" w:hAnsi="Arial Narrow"/>
              </w:rPr>
              <w:t xml:space="preserve">selgelt </w:t>
            </w:r>
            <w:r w:rsidRPr="00EE23D0">
              <w:rPr>
                <w:rFonts w:ascii="Arial Narrow" w:hAnsi="Arial Narrow"/>
              </w:rPr>
              <w:t>selle rol</w:t>
            </w:r>
            <w:r w:rsidR="00BB24F9">
              <w:rPr>
                <w:rFonts w:ascii="Arial Narrow" w:hAnsi="Arial Narrow"/>
              </w:rPr>
              <w:t>li ja vastutust ühiskonnas</w:t>
            </w:r>
            <w:r w:rsidR="000C7864">
              <w:rPr>
                <w:rFonts w:ascii="Arial Narrow" w:hAnsi="Arial Narrow"/>
              </w:rPr>
              <w:t xml:space="preserve"> ning tegeleb</w:t>
            </w:r>
            <w:r w:rsidR="00BB24F9">
              <w:rPr>
                <w:rFonts w:ascii="Arial Narrow" w:hAnsi="Arial Narrow"/>
              </w:rPr>
              <w:t xml:space="preserve"> </w:t>
            </w:r>
            <w:r w:rsidRPr="00EE23D0">
              <w:rPr>
                <w:rFonts w:ascii="Arial Narrow" w:hAnsi="Arial Narrow"/>
              </w:rPr>
              <w:t>TA ühiskondlik</w:t>
            </w:r>
            <w:r w:rsidR="00BB24F9">
              <w:rPr>
                <w:rFonts w:ascii="Arial Narrow" w:hAnsi="Arial Narrow"/>
              </w:rPr>
              <w:t>k</w:t>
            </w:r>
            <w:r w:rsidRPr="00EE23D0">
              <w:rPr>
                <w:rFonts w:ascii="Arial Narrow" w:hAnsi="Arial Narrow"/>
              </w:rPr>
              <w:t>u mõju hindamis</w:t>
            </w:r>
            <w:r w:rsidR="000C7864">
              <w:rPr>
                <w:rFonts w:ascii="Arial Narrow" w:hAnsi="Arial Narrow"/>
              </w:rPr>
              <w:t>ega</w:t>
            </w:r>
            <w:r w:rsidRPr="00EE23D0">
              <w:rPr>
                <w:rFonts w:ascii="Arial Narrow" w:hAnsi="Arial Narrow"/>
              </w:rPr>
              <w:t>.</w:t>
            </w:r>
          </w:p>
        </w:tc>
      </w:tr>
      <w:tr w:rsidR="00DE69D6" w:rsidRPr="00EE23D0" w14:paraId="2096A988" w14:textId="77777777" w:rsidTr="00592287">
        <w:trPr>
          <w:trHeight w:val="296"/>
        </w:trPr>
        <w:tc>
          <w:tcPr>
            <w:tcW w:w="1271" w:type="dxa"/>
          </w:tcPr>
          <w:p w14:paraId="1FD8A131" w14:textId="77777777" w:rsidR="00DE69D6" w:rsidRPr="00EE23D0" w:rsidRDefault="00DE69D6" w:rsidP="00592287">
            <w:pPr>
              <w:rPr>
                <w:rFonts w:ascii="Arial Narrow" w:hAnsi="Arial Narrow"/>
              </w:rPr>
            </w:pPr>
            <w:r w:rsidRPr="00EE23D0">
              <w:rPr>
                <w:rFonts w:ascii="Arial Narrow" w:hAnsi="Arial Narrow"/>
              </w:rPr>
              <w:t>Hea</w:t>
            </w:r>
          </w:p>
        </w:tc>
        <w:tc>
          <w:tcPr>
            <w:tcW w:w="4253" w:type="dxa"/>
          </w:tcPr>
          <w:p w14:paraId="5F37A7AD" w14:textId="4707CFE8" w:rsidR="004D3E49" w:rsidRDefault="00DE69D6" w:rsidP="00592287">
            <w:pPr>
              <w:pStyle w:val="Default"/>
              <w:spacing w:after="27"/>
              <w:jc w:val="both"/>
              <w:rPr>
                <w:rFonts w:ascii="Arial Narrow" w:hAnsi="Arial Narrow"/>
                <w:sz w:val="22"/>
                <w:szCs w:val="22"/>
              </w:rPr>
            </w:pPr>
            <w:r w:rsidRPr="00EE23D0">
              <w:rPr>
                <w:rFonts w:ascii="Arial Narrow" w:hAnsi="Arial Narrow"/>
                <w:sz w:val="22"/>
                <w:szCs w:val="22"/>
              </w:rPr>
              <w:t>Suur osa TA</w:t>
            </w:r>
            <w:r w:rsidR="00891732">
              <w:rPr>
                <w:rFonts w:ascii="Arial Narrow" w:hAnsi="Arial Narrow"/>
                <w:sz w:val="22"/>
                <w:szCs w:val="22"/>
              </w:rPr>
              <w:t xml:space="preserve"> </w:t>
            </w:r>
            <w:r w:rsidRPr="00EE23D0">
              <w:rPr>
                <w:rFonts w:ascii="Arial Narrow" w:hAnsi="Arial Narrow"/>
                <w:sz w:val="22"/>
                <w:szCs w:val="22"/>
              </w:rPr>
              <w:t xml:space="preserve">tulemustest on heal rahvusvahelisel tasemel: tulemused äratavad </w:t>
            </w:r>
            <w:r w:rsidR="00846EC7">
              <w:rPr>
                <w:rFonts w:ascii="Arial Narrow" w:hAnsi="Arial Narrow"/>
                <w:sz w:val="22"/>
                <w:szCs w:val="22"/>
              </w:rPr>
              <w:t>valdkonnas rahvusvahelist huvi. Publikatsioonid</w:t>
            </w:r>
            <w:r w:rsidRPr="00EE23D0">
              <w:rPr>
                <w:rFonts w:ascii="Arial Narrow" w:hAnsi="Arial Narrow"/>
                <w:sz w:val="22"/>
                <w:szCs w:val="22"/>
              </w:rPr>
              <w:t xml:space="preserve"> on avaldatud tuntud rahvusvaheliste kirjastuste poolt ja/või tuntud rahvusvahelistes </w:t>
            </w:r>
            <w:r w:rsidRPr="004A4E7F">
              <w:rPr>
                <w:rFonts w:ascii="Arial Narrow" w:hAnsi="Arial Narrow"/>
                <w:sz w:val="22"/>
                <w:szCs w:val="22"/>
              </w:rPr>
              <w:t>erialastes ajakirjades.</w:t>
            </w:r>
            <w:r w:rsidR="005C3CA4" w:rsidRPr="004A4E7F">
              <w:rPr>
                <w:rFonts w:ascii="Arial Narrow" w:hAnsi="Arial Narrow"/>
                <w:sz w:val="22"/>
                <w:szCs w:val="22"/>
              </w:rPr>
              <w:t xml:space="preserve"> Kõrgetasemeliste publikatsioonide arv TA-töötaja kohta näitab teatud ebaühtlust TA</w:t>
            </w:r>
            <w:r w:rsidR="00891732">
              <w:rPr>
                <w:rFonts w:ascii="Arial Narrow" w:hAnsi="Arial Narrow"/>
                <w:sz w:val="22"/>
                <w:szCs w:val="22"/>
              </w:rPr>
              <w:t xml:space="preserve"> </w:t>
            </w:r>
            <w:r w:rsidR="005C3CA4" w:rsidRPr="004A4E7F">
              <w:rPr>
                <w:rFonts w:ascii="Arial Narrow" w:hAnsi="Arial Narrow"/>
                <w:sz w:val="22"/>
                <w:szCs w:val="22"/>
              </w:rPr>
              <w:t>tasemes</w:t>
            </w:r>
            <w:r w:rsidR="004A4E7F" w:rsidRPr="004A4E7F">
              <w:rPr>
                <w:rFonts w:ascii="Arial Narrow" w:hAnsi="Arial Narrow"/>
                <w:sz w:val="22"/>
                <w:szCs w:val="22"/>
              </w:rPr>
              <w:t xml:space="preserve"> </w:t>
            </w:r>
            <w:proofErr w:type="spellStart"/>
            <w:r w:rsidR="004A4E7F" w:rsidRPr="004A4E7F">
              <w:rPr>
                <w:rFonts w:ascii="Arial Narrow" w:hAnsi="Arial Narrow"/>
                <w:sz w:val="22"/>
                <w:szCs w:val="22"/>
              </w:rPr>
              <w:t>uurimissuuniti</w:t>
            </w:r>
            <w:proofErr w:type="spellEnd"/>
            <w:r w:rsidR="004A4E7F" w:rsidRPr="004A4E7F">
              <w:rPr>
                <w:rFonts w:ascii="Arial Narrow" w:hAnsi="Arial Narrow"/>
                <w:sz w:val="22"/>
                <w:szCs w:val="22"/>
              </w:rPr>
              <w:t xml:space="preserve"> ja/või struktuuriüksuste vahel</w:t>
            </w:r>
            <w:r w:rsidR="004D3E49">
              <w:rPr>
                <w:rFonts w:ascii="Arial Narrow" w:hAnsi="Arial Narrow"/>
                <w:sz w:val="22"/>
                <w:szCs w:val="22"/>
              </w:rPr>
              <w:t>.</w:t>
            </w:r>
          </w:p>
          <w:p w14:paraId="2D0F1317" w14:textId="77777777" w:rsidR="00DE69D6" w:rsidRDefault="00DE69D6" w:rsidP="001661E6">
            <w:pPr>
              <w:pStyle w:val="Default"/>
              <w:spacing w:after="27"/>
              <w:jc w:val="both"/>
              <w:rPr>
                <w:rFonts w:ascii="Arial Narrow" w:hAnsi="Arial Narrow"/>
                <w:sz w:val="22"/>
                <w:szCs w:val="22"/>
              </w:rPr>
            </w:pPr>
          </w:p>
          <w:p w14:paraId="365C20FD" w14:textId="11BFD58B" w:rsidR="00846EC7" w:rsidRPr="00EE23D0" w:rsidRDefault="00846EC7" w:rsidP="00846EC7">
            <w:pPr>
              <w:pStyle w:val="Default"/>
              <w:spacing w:after="27"/>
              <w:jc w:val="both"/>
              <w:rPr>
                <w:rFonts w:ascii="Arial Narrow" w:hAnsi="Arial Narrow"/>
                <w:sz w:val="22"/>
                <w:szCs w:val="22"/>
              </w:rPr>
            </w:pPr>
            <w:r w:rsidRPr="00EE23D0">
              <w:rPr>
                <w:rFonts w:ascii="Arial Narrow" w:hAnsi="Arial Narrow"/>
              </w:rPr>
              <w:t xml:space="preserve">Asutuse </w:t>
            </w:r>
            <w:r>
              <w:rPr>
                <w:rFonts w:ascii="Arial Narrow" w:hAnsi="Arial Narrow"/>
              </w:rPr>
              <w:t xml:space="preserve">poolt esitatud täiendavad faktid kinnitavad </w:t>
            </w:r>
            <w:r w:rsidRPr="00EE23D0">
              <w:rPr>
                <w:rFonts w:ascii="Arial Narrow" w:hAnsi="Arial Narrow"/>
              </w:rPr>
              <w:t xml:space="preserve">TA </w:t>
            </w:r>
            <w:r>
              <w:rPr>
                <w:rFonts w:ascii="Arial Narrow" w:hAnsi="Arial Narrow"/>
              </w:rPr>
              <w:t>teaduslikku</w:t>
            </w:r>
            <w:r w:rsidRPr="00EE23D0">
              <w:rPr>
                <w:rFonts w:ascii="Arial Narrow" w:hAnsi="Arial Narrow"/>
              </w:rPr>
              <w:t xml:space="preserve"> mõju</w:t>
            </w:r>
            <w:r>
              <w:rPr>
                <w:rFonts w:ascii="Arial Narrow" w:hAnsi="Arial Narrow"/>
              </w:rPr>
              <w:t>kust.</w:t>
            </w:r>
          </w:p>
          <w:p w14:paraId="27F03FB9" w14:textId="68CE97B1" w:rsidR="00846EC7" w:rsidRPr="00EE23D0" w:rsidRDefault="00846EC7" w:rsidP="001661E6">
            <w:pPr>
              <w:pStyle w:val="Default"/>
              <w:spacing w:after="27"/>
              <w:jc w:val="both"/>
              <w:rPr>
                <w:rFonts w:ascii="Arial Narrow" w:hAnsi="Arial Narrow"/>
                <w:sz w:val="22"/>
                <w:szCs w:val="22"/>
              </w:rPr>
            </w:pPr>
          </w:p>
        </w:tc>
        <w:tc>
          <w:tcPr>
            <w:tcW w:w="4536" w:type="dxa"/>
          </w:tcPr>
          <w:p w14:paraId="4BAF0E45" w14:textId="1B26CF80" w:rsidR="004C7E64" w:rsidRDefault="00DE69D6" w:rsidP="00592287">
            <w:pPr>
              <w:rPr>
                <w:rFonts w:ascii="Arial Narrow" w:hAnsi="Arial Narrow"/>
              </w:rPr>
            </w:pPr>
            <w:r w:rsidRPr="00EE23D0">
              <w:rPr>
                <w:rFonts w:ascii="Arial Narrow" w:hAnsi="Arial Narrow"/>
              </w:rPr>
              <w:lastRenderedPageBreak/>
              <w:t>TA</w:t>
            </w:r>
            <w:r w:rsidR="00891732">
              <w:rPr>
                <w:rFonts w:ascii="Arial Narrow" w:hAnsi="Arial Narrow"/>
              </w:rPr>
              <w:t xml:space="preserve"> </w:t>
            </w:r>
            <w:r w:rsidRPr="00EE23D0">
              <w:rPr>
                <w:rFonts w:ascii="Arial Narrow" w:hAnsi="Arial Narrow"/>
              </w:rPr>
              <w:t xml:space="preserve">korraldus ja juhtimine on üldjoontes selge ja toimiv ning arvestab võimalusel valdkondlikku spetsiifikat. Valdkonna </w:t>
            </w:r>
            <w:proofErr w:type="spellStart"/>
            <w:r w:rsidRPr="00EE23D0">
              <w:rPr>
                <w:rFonts w:ascii="Arial Narrow" w:hAnsi="Arial Narrow"/>
              </w:rPr>
              <w:t>rahastuse</w:t>
            </w:r>
            <w:proofErr w:type="spellEnd"/>
            <w:r w:rsidRPr="00EE23D0">
              <w:rPr>
                <w:rFonts w:ascii="Arial Narrow" w:hAnsi="Arial Narrow"/>
              </w:rPr>
              <w:t xml:space="preserve"> tagamise meetmed, </w:t>
            </w:r>
            <w:proofErr w:type="spellStart"/>
            <w:r w:rsidRPr="00EE23D0">
              <w:rPr>
                <w:rFonts w:ascii="Arial Narrow" w:hAnsi="Arial Narrow"/>
              </w:rPr>
              <w:t>rahastuse</w:t>
            </w:r>
            <w:proofErr w:type="spellEnd"/>
            <w:r w:rsidRPr="00EE23D0">
              <w:rPr>
                <w:rFonts w:ascii="Arial Narrow" w:hAnsi="Arial Narrow"/>
              </w:rPr>
              <w:t xml:space="preserve"> maht ning TA-töötajate koosseis annavad tunnistust TA jätkusuutlikkusest tulevikuperspektiivis, ent </w:t>
            </w:r>
            <w:proofErr w:type="spellStart"/>
            <w:r w:rsidRPr="00EE23D0">
              <w:rPr>
                <w:rFonts w:ascii="Arial Narrow" w:hAnsi="Arial Narrow"/>
              </w:rPr>
              <w:t>rahastuse</w:t>
            </w:r>
            <w:proofErr w:type="spellEnd"/>
            <w:r w:rsidRPr="00EE23D0">
              <w:rPr>
                <w:rFonts w:ascii="Arial Narrow" w:hAnsi="Arial Narrow"/>
              </w:rPr>
              <w:t xml:space="preserve"> struktuuri</w:t>
            </w:r>
            <w:r w:rsidR="004223DB">
              <w:rPr>
                <w:rFonts w:ascii="Arial Narrow" w:hAnsi="Arial Narrow"/>
              </w:rPr>
              <w:t>s</w:t>
            </w:r>
            <w:r w:rsidRPr="00EE23D0">
              <w:rPr>
                <w:rFonts w:ascii="Arial Narrow" w:hAnsi="Arial Narrow"/>
              </w:rPr>
              <w:t xml:space="preserve"> ja töötajaskonna eri gruppide </w:t>
            </w:r>
            <w:r w:rsidR="004223DB">
              <w:rPr>
                <w:rFonts w:ascii="Arial Narrow" w:hAnsi="Arial Narrow"/>
              </w:rPr>
              <w:t>hulgas</w:t>
            </w:r>
            <w:r w:rsidR="004223DB" w:rsidRPr="00EE23D0">
              <w:rPr>
                <w:rFonts w:ascii="Arial Narrow" w:hAnsi="Arial Narrow"/>
              </w:rPr>
              <w:t xml:space="preserve"> </w:t>
            </w:r>
            <w:r w:rsidR="004223DB">
              <w:rPr>
                <w:rFonts w:ascii="Arial Narrow" w:hAnsi="Arial Narrow"/>
              </w:rPr>
              <w:t>võib olla vajalik rakendada</w:t>
            </w:r>
            <w:r w:rsidR="004D3E49">
              <w:rPr>
                <w:rFonts w:ascii="Arial Narrow" w:hAnsi="Arial Narrow"/>
              </w:rPr>
              <w:t xml:space="preserve"> tugevdava</w:t>
            </w:r>
            <w:r w:rsidR="00846EC7">
              <w:rPr>
                <w:rFonts w:ascii="Arial Narrow" w:hAnsi="Arial Narrow"/>
              </w:rPr>
              <w:t>i</w:t>
            </w:r>
            <w:r w:rsidR="004D3E49">
              <w:rPr>
                <w:rFonts w:ascii="Arial Narrow" w:hAnsi="Arial Narrow"/>
              </w:rPr>
              <w:t>d meetme</w:t>
            </w:r>
            <w:r w:rsidR="00846EC7">
              <w:rPr>
                <w:rFonts w:ascii="Arial Narrow" w:hAnsi="Arial Narrow"/>
              </w:rPr>
              <w:t>id</w:t>
            </w:r>
            <w:r w:rsidR="004D3E49">
              <w:rPr>
                <w:rFonts w:ascii="Arial Narrow" w:hAnsi="Arial Narrow"/>
              </w:rPr>
              <w:t>.</w:t>
            </w:r>
          </w:p>
          <w:p w14:paraId="3DEDCBA4" w14:textId="77777777" w:rsidR="004D3E49" w:rsidRDefault="004D3E49" w:rsidP="00592287">
            <w:pPr>
              <w:rPr>
                <w:rFonts w:ascii="Arial Narrow" w:hAnsi="Arial Narrow"/>
              </w:rPr>
            </w:pPr>
          </w:p>
          <w:p w14:paraId="6B6395C6" w14:textId="77777777" w:rsidR="00846EC7" w:rsidRDefault="004B0BD8" w:rsidP="004B0BD8">
            <w:pPr>
              <w:pStyle w:val="Default"/>
              <w:spacing w:after="27"/>
              <w:jc w:val="both"/>
              <w:rPr>
                <w:rFonts w:ascii="Arial Narrow" w:hAnsi="Arial Narrow"/>
                <w:sz w:val="22"/>
                <w:szCs w:val="22"/>
              </w:rPr>
            </w:pPr>
            <w:r w:rsidRPr="00EE23D0">
              <w:rPr>
                <w:rFonts w:ascii="Arial Narrow" w:hAnsi="Arial Narrow"/>
                <w:sz w:val="22"/>
                <w:szCs w:val="22"/>
              </w:rPr>
              <w:lastRenderedPageBreak/>
              <w:t>Asutusel on valdkonna arendamisel selge nägemus nii tugevustest kui arenguvajadustest ning soov tegeleda valdkonna potentsiaali tugevdamisega.</w:t>
            </w:r>
          </w:p>
          <w:p w14:paraId="3C2D5ABA" w14:textId="4C716F62" w:rsidR="004B0BD8" w:rsidRPr="00BC3CB1" w:rsidRDefault="004B0BD8" w:rsidP="004B0BD8">
            <w:pPr>
              <w:pStyle w:val="Default"/>
              <w:spacing w:after="27"/>
              <w:jc w:val="both"/>
              <w:rPr>
                <w:rFonts w:ascii="Arial Narrow" w:hAnsi="Arial Narrow"/>
                <w:sz w:val="22"/>
                <w:szCs w:val="22"/>
              </w:rPr>
            </w:pPr>
            <w:r w:rsidRPr="00EE23D0">
              <w:rPr>
                <w:rFonts w:ascii="Arial Narrow" w:hAnsi="Arial Narrow"/>
                <w:sz w:val="22"/>
                <w:szCs w:val="22"/>
              </w:rPr>
              <w:t xml:space="preserve">Uurimissuundadel on teaduslikust, </w:t>
            </w:r>
            <w:proofErr w:type="spellStart"/>
            <w:r w:rsidRPr="00EE23D0">
              <w:rPr>
                <w:rFonts w:ascii="Arial Narrow" w:hAnsi="Arial Narrow"/>
                <w:sz w:val="22"/>
                <w:szCs w:val="22"/>
              </w:rPr>
              <w:t>sotsiaal-majanduslikust</w:t>
            </w:r>
            <w:proofErr w:type="spellEnd"/>
            <w:r w:rsidRPr="00EE23D0">
              <w:rPr>
                <w:rFonts w:ascii="Arial Narrow" w:hAnsi="Arial Narrow"/>
                <w:sz w:val="22"/>
                <w:szCs w:val="22"/>
              </w:rPr>
              <w:t xml:space="preserve"> ja/või </w:t>
            </w:r>
            <w:r w:rsidRPr="00BC3CB1">
              <w:rPr>
                <w:rFonts w:ascii="Arial Narrow" w:hAnsi="Arial Narrow"/>
                <w:sz w:val="22"/>
                <w:szCs w:val="22"/>
              </w:rPr>
              <w:t xml:space="preserve">keskkonna perspektiivist kohati selgesti </w:t>
            </w:r>
            <w:r>
              <w:rPr>
                <w:rFonts w:ascii="Arial Narrow" w:hAnsi="Arial Narrow"/>
                <w:sz w:val="22"/>
                <w:szCs w:val="22"/>
              </w:rPr>
              <w:t>avaldunud</w:t>
            </w:r>
            <w:r w:rsidRPr="00BC3CB1">
              <w:rPr>
                <w:rFonts w:ascii="Arial Narrow" w:hAnsi="Arial Narrow"/>
                <w:sz w:val="22"/>
                <w:szCs w:val="22"/>
              </w:rPr>
              <w:t>, kohati</w:t>
            </w:r>
            <w:r>
              <w:rPr>
                <w:rFonts w:ascii="Arial Narrow" w:hAnsi="Arial Narrow"/>
                <w:sz w:val="22"/>
                <w:szCs w:val="22"/>
              </w:rPr>
              <w:t xml:space="preserve"> </w:t>
            </w:r>
            <w:r>
              <w:rPr>
                <w:rStyle w:val="d"/>
                <w:rFonts w:ascii="Arial Narrow" w:hAnsi="Arial Narrow"/>
              </w:rPr>
              <w:t xml:space="preserve">selgelt avaldumata </w:t>
            </w:r>
            <w:r w:rsidRPr="00BC3CB1">
              <w:rPr>
                <w:rFonts w:ascii="Arial Narrow" w:hAnsi="Arial Narrow"/>
                <w:sz w:val="22"/>
                <w:szCs w:val="22"/>
              </w:rPr>
              <w:t>potentsiaal, mis vajab suuremat tähelepanu.</w:t>
            </w:r>
          </w:p>
          <w:p w14:paraId="6D1AE76E" w14:textId="77777777" w:rsidR="004B0BD8" w:rsidRPr="00EE23D0" w:rsidRDefault="004B0BD8" w:rsidP="00592287">
            <w:pPr>
              <w:rPr>
                <w:rFonts w:ascii="Arial Narrow" w:hAnsi="Arial Narrow"/>
              </w:rPr>
            </w:pPr>
          </w:p>
          <w:p w14:paraId="36C01EB1" w14:textId="6E2F08C3" w:rsidR="00DE69D6" w:rsidRPr="00EE23D0" w:rsidRDefault="00DE69D6" w:rsidP="00592287">
            <w:pPr>
              <w:rPr>
                <w:rFonts w:ascii="Arial Narrow" w:hAnsi="Arial Narrow"/>
              </w:rPr>
            </w:pPr>
            <w:r w:rsidRPr="00EE23D0">
              <w:rPr>
                <w:rFonts w:ascii="Arial Narrow" w:hAnsi="Arial Narrow"/>
              </w:rPr>
              <w:t>Taristu on heas seisukorras ja loob valdkondlikuks TA</w:t>
            </w:r>
            <w:r w:rsidR="00891732">
              <w:rPr>
                <w:rFonts w:ascii="Arial Narrow" w:hAnsi="Arial Narrow"/>
              </w:rPr>
              <w:t>-</w:t>
            </w:r>
            <w:r w:rsidRPr="00EE23D0">
              <w:rPr>
                <w:rFonts w:ascii="Arial Narrow" w:hAnsi="Arial Narrow"/>
              </w:rPr>
              <w:t>ks</w:t>
            </w:r>
            <w:r w:rsidR="008A0D40">
              <w:rPr>
                <w:rFonts w:ascii="Arial Narrow" w:hAnsi="Arial Narrow"/>
              </w:rPr>
              <w:t xml:space="preserve"> ja doktoriõppe läbiviimiseks (ülikoolide puhul) </w:t>
            </w:r>
            <w:r w:rsidRPr="00EE23D0">
              <w:rPr>
                <w:rFonts w:ascii="Arial Narrow" w:hAnsi="Arial Narrow"/>
              </w:rPr>
              <w:t>head tingimused.</w:t>
            </w:r>
          </w:p>
          <w:p w14:paraId="6169CC88" w14:textId="77777777" w:rsidR="004D3E49" w:rsidRPr="00BC3CB1" w:rsidRDefault="004D3E49" w:rsidP="00592287">
            <w:pPr>
              <w:rPr>
                <w:rFonts w:ascii="Arial Narrow" w:hAnsi="Arial Narrow"/>
              </w:rPr>
            </w:pPr>
          </w:p>
          <w:p w14:paraId="706B0B9A" w14:textId="1D70052C" w:rsidR="004C7E64" w:rsidRPr="00EE23D0" w:rsidRDefault="004D3E49" w:rsidP="00891732">
            <w:pPr>
              <w:rPr>
                <w:rFonts w:ascii="Arial Narrow" w:hAnsi="Arial Narrow"/>
              </w:rPr>
            </w:pPr>
            <w:r>
              <w:rPr>
                <w:rFonts w:ascii="Arial Narrow" w:hAnsi="Arial Narrow"/>
              </w:rPr>
              <w:t xml:space="preserve">(Ülikoolide puhul) Valdkonnaga seotud doktoriõppekavade aluseks olev TA on valdavalt </w:t>
            </w:r>
            <w:r w:rsidR="001661E6">
              <w:rPr>
                <w:rFonts w:ascii="Arial Narrow" w:hAnsi="Arial Narrow"/>
              </w:rPr>
              <w:t xml:space="preserve">heal või väga heal </w:t>
            </w:r>
            <w:r>
              <w:rPr>
                <w:rFonts w:ascii="Arial Narrow" w:hAnsi="Arial Narrow"/>
              </w:rPr>
              <w:t>rahvusvahelisel tasemel, kuid konkreetsete õppekavade lõikes ebaühtlane (Sellisel juhul toob komisjon välja õppekavad, mille tase on rahuldav).</w:t>
            </w:r>
          </w:p>
        </w:tc>
        <w:tc>
          <w:tcPr>
            <w:tcW w:w="4394" w:type="dxa"/>
          </w:tcPr>
          <w:p w14:paraId="55A90330" w14:textId="6E42F9D5" w:rsidR="00DE69D6" w:rsidRPr="00EE23D0" w:rsidRDefault="00DE69D6" w:rsidP="00592287">
            <w:pPr>
              <w:rPr>
                <w:rFonts w:ascii="Arial Narrow" w:hAnsi="Arial Narrow"/>
              </w:rPr>
            </w:pPr>
            <w:r w:rsidRPr="00EE23D0">
              <w:rPr>
                <w:rFonts w:ascii="Arial Narrow" w:hAnsi="Arial Narrow"/>
              </w:rPr>
              <w:lastRenderedPageBreak/>
              <w:t>Valdkonna TA-s arvestatakse mitmetes uurimissuundades ühiskonna arengutrendide ja -vajadustega (nt aktuaalsete teemade uurimise või tellitud rakendusuuringute kaudu, TA-töötajate osalemise kaudu asutusevälistes olulistes arendus- ja otsustuskogudes</w:t>
            </w:r>
            <w:r w:rsidR="00697768">
              <w:rPr>
                <w:rFonts w:ascii="Arial Narrow" w:hAnsi="Arial Narrow"/>
              </w:rPr>
              <w:t xml:space="preserve">, </w:t>
            </w:r>
            <w:r w:rsidR="00697768" w:rsidRPr="00697768">
              <w:rPr>
                <w:rFonts w:ascii="Arial Narrow" w:hAnsi="Arial Narrow"/>
                <w:color w:val="000000" w:themeColor="text1"/>
              </w:rPr>
              <w:t>TA-tulemuste põhjal toimunud oluliste ühiskondlike arengute näol</w:t>
            </w:r>
            <w:r w:rsidRPr="00697768">
              <w:rPr>
                <w:rFonts w:ascii="Arial Narrow" w:hAnsi="Arial Narrow"/>
                <w:color w:val="000000" w:themeColor="text1"/>
              </w:rPr>
              <w:t xml:space="preserve"> jm</w:t>
            </w:r>
            <w:r w:rsidRPr="00EE23D0">
              <w:rPr>
                <w:rFonts w:ascii="Arial Narrow" w:hAnsi="Arial Narrow"/>
              </w:rPr>
              <w:t xml:space="preserve">s).  </w:t>
            </w:r>
          </w:p>
          <w:p w14:paraId="4FEC262C" w14:textId="530752BB" w:rsidR="00DE69D6" w:rsidRPr="00EE23D0" w:rsidRDefault="00DE69D6" w:rsidP="00592287">
            <w:pPr>
              <w:rPr>
                <w:rFonts w:ascii="Arial Narrow" w:hAnsi="Arial Narrow"/>
              </w:rPr>
            </w:pPr>
            <w:r w:rsidRPr="00EE23D0">
              <w:rPr>
                <w:rFonts w:ascii="Arial Narrow" w:hAnsi="Arial Narrow"/>
              </w:rPr>
              <w:lastRenderedPageBreak/>
              <w:t>Valdkonnas lähtutakse uurimisteemade valikul osaliselt ühiskondlikust ja globaalsest olulisusest ja algatatakse diskussioone aktuaalsetel teemadel.</w:t>
            </w:r>
          </w:p>
          <w:p w14:paraId="318148BE" w14:textId="77777777" w:rsidR="00DE69D6" w:rsidRPr="00EE23D0" w:rsidRDefault="00DE69D6" w:rsidP="00592287">
            <w:pPr>
              <w:rPr>
                <w:rFonts w:ascii="Arial Narrow" w:hAnsi="Arial Narrow"/>
              </w:rPr>
            </w:pPr>
          </w:p>
          <w:p w14:paraId="47D063EF" w14:textId="035E4E2B" w:rsidR="00623878" w:rsidRPr="00EE23D0" w:rsidRDefault="00B11316" w:rsidP="00B11316">
            <w:pPr>
              <w:rPr>
                <w:rFonts w:ascii="Arial Narrow" w:hAnsi="Arial Narrow"/>
              </w:rPr>
            </w:pPr>
            <w:r>
              <w:rPr>
                <w:rFonts w:ascii="Arial Narrow" w:hAnsi="Arial Narrow"/>
                <w:color w:val="000000" w:themeColor="text1"/>
              </w:rPr>
              <w:t>Asutus väärtustab TA</w:t>
            </w:r>
            <w:r w:rsidR="00623878">
              <w:rPr>
                <w:rFonts w:ascii="Arial Narrow" w:hAnsi="Arial Narrow"/>
                <w:color w:val="000000" w:themeColor="text1"/>
              </w:rPr>
              <w:t xml:space="preserve"> ühiskondlikku rolli ja vastutust ning </w:t>
            </w:r>
            <w:r w:rsidR="007E4F39">
              <w:rPr>
                <w:rFonts w:ascii="Arial Narrow" w:hAnsi="Arial Narrow"/>
                <w:color w:val="000000" w:themeColor="text1"/>
              </w:rPr>
              <w:t>tegutseb selle nimel</w:t>
            </w:r>
            <w:r w:rsidR="00623878">
              <w:rPr>
                <w:rFonts w:ascii="Arial Narrow" w:hAnsi="Arial Narrow"/>
                <w:color w:val="000000" w:themeColor="text1"/>
              </w:rPr>
              <w:t>, et viia oma tegevus</w:t>
            </w:r>
            <w:r w:rsidR="007E4F39">
              <w:rPr>
                <w:rFonts w:ascii="Arial Narrow" w:hAnsi="Arial Narrow"/>
                <w:color w:val="000000" w:themeColor="text1"/>
              </w:rPr>
              <w:t>ed</w:t>
            </w:r>
            <w:r w:rsidR="00623878">
              <w:rPr>
                <w:rFonts w:ascii="Arial Narrow" w:hAnsi="Arial Narrow"/>
                <w:color w:val="000000" w:themeColor="text1"/>
              </w:rPr>
              <w:t xml:space="preserve"> vastavusse ühiskonna vajadustega</w:t>
            </w:r>
            <w:r w:rsidR="001011C6">
              <w:rPr>
                <w:rFonts w:ascii="Arial Narrow" w:hAnsi="Arial Narrow"/>
                <w:color w:val="000000" w:themeColor="text1"/>
              </w:rPr>
              <w:t xml:space="preserve"> ning hinnata TA</w:t>
            </w:r>
            <w:r>
              <w:rPr>
                <w:rFonts w:ascii="Arial Narrow" w:hAnsi="Arial Narrow"/>
                <w:color w:val="000000" w:themeColor="text1"/>
              </w:rPr>
              <w:t xml:space="preserve"> </w:t>
            </w:r>
            <w:r w:rsidR="001011C6">
              <w:rPr>
                <w:rFonts w:ascii="Arial Narrow" w:hAnsi="Arial Narrow"/>
                <w:color w:val="000000" w:themeColor="text1"/>
              </w:rPr>
              <w:t xml:space="preserve"> ühiskondlikku mõju</w:t>
            </w:r>
            <w:r w:rsidR="00623878">
              <w:rPr>
                <w:rFonts w:ascii="Arial Narrow" w:hAnsi="Arial Narrow"/>
                <w:color w:val="000000" w:themeColor="text1"/>
              </w:rPr>
              <w:t xml:space="preserve">. </w:t>
            </w:r>
          </w:p>
        </w:tc>
      </w:tr>
      <w:tr w:rsidR="00DE69D6" w:rsidRPr="00EE23D0" w14:paraId="776A6D4E" w14:textId="77777777" w:rsidTr="00592287">
        <w:trPr>
          <w:trHeight w:val="280"/>
        </w:trPr>
        <w:tc>
          <w:tcPr>
            <w:tcW w:w="1271" w:type="dxa"/>
          </w:tcPr>
          <w:p w14:paraId="4EF29ADA" w14:textId="77777777" w:rsidR="00DE69D6" w:rsidRPr="00EE23D0" w:rsidRDefault="00DE69D6" w:rsidP="00592287">
            <w:pPr>
              <w:rPr>
                <w:rFonts w:ascii="Arial Narrow" w:hAnsi="Arial Narrow"/>
              </w:rPr>
            </w:pPr>
            <w:r w:rsidRPr="00EE23D0">
              <w:rPr>
                <w:rFonts w:ascii="Arial Narrow" w:hAnsi="Arial Narrow"/>
              </w:rPr>
              <w:lastRenderedPageBreak/>
              <w:t>Rahuldav</w:t>
            </w:r>
          </w:p>
        </w:tc>
        <w:tc>
          <w:tcPr>
            <w:tcW w:w="4253" w:type="dxa"/>
          </w:tcPr>
          <w:p w14:paraId="4C2B6BDF" w14:textId="5B299E0E" w:rsidR="00DE69D6" w:rsidRPr="00EE23D0" w:rsidRDefault="00DE69D6" w:rsidP="00592287">
            <w:pPr>
              <w:pStyle w:val="Default"/>
              <w:spacing w:after="27"/>
              <w:jc w:val="both"/>
              <w:rPr>
                <w:rFonts w:ascii="Arial Narrow" w:hAnsi="Arial Narrow"/>
                <w:sz w:val="22"/>
                <w:szCs w:val="22"/>
              </w:rPr>
            </w:pPr>
            <w:r w:rsidRPr="00EE23D0">
              <w:rPr>
                <w:rFonts w:ascii="Arial Narrow" w:hAnsi="Arial Narrow"/>
                <w:sz w:val="22"/>
                <w:szCs w:val="22"/>
              </w:rPr>
              <w:t xml:space="preserve">TA tulemused on üldiselt rahuldaval rahvusvahelisel tasemel: tulemused pakuvad teatud suundades </w:t>
            </w:r>
            <w:r w:rsidR="00846EC7">
              <w:rPr>
                <w:rFonts w:ascii="Arial Narrow" w:hAnsi="Arial Narrow"/>
                <w:sz w:val="22"/>
                <w:szCs w:val="22"/>
              </w:rPr>
              <w:t xml:space="preserve">rahvusvaheliselt </w:t>
            </w:r>
            <w:r w:rsidRPr="00EE23D0">
              <w:rPr>
                <w:rFonts w:ascii="Arial Narrow" w:hAnsi="Arial Narrow"/>
                <w:sz w:val="22"/>
                <w:szCs w:val="22"/>
              </w:rPr>
              <w:t>huvi</w:t>
            </w:r>
            <w:r w:rsidR="00846EC7">
              <w:rPr>
                <w:rFonts w:ascii="Arial Narrow" w:hAnsi="Arial Narrow"/>
                <w:sz w:val="22"/>
                <w:szCs w:val="22"/>
              </w:rPr>
              <w:t>. Publikatsioonid</w:t>
            </w:r>
            <w:r w:rsidRPr="00EE23D0">
              <w:rPr>
                <w:rFonts w:ascii="Arial Narrow" w:hAnsi="Arial Narrow"/>
                <w:sz w:val="22"/>
                <w:szCs w:val="22"/>
              </w:rPr>
              <w:t xml:space="preserve"> on avaldatud välismaal või tuntud siseriiklike kirjastuste poolt või tuntud siseriiklikes ajakirjades.  </w:t>
            </w:r>
          </w:p>
          <w:p w14:paraId="38D61936" w14:textId="66A1576D" w:rsidR="00DE69D6" w:rsidRPr="00EE23D0" w:rsidRDefault="005C3CA4" w:rsidP="00592287">
            <w:pPr>
              <w:rPr>
                <w:rFonts w:ascii="Arial Narrow" w:hAnsi="Arial Narrow"/>
              </w:rPr>
            </w:pPr>
            <w:r>
              <w:rPr>
                <w:rFonts w:ascii="Arial Narrow" w:hAnsi="Arial Narrow"/>
              </w:rPr>
              <w:t>TA-töötaja</w:t>
            </w:r>
            <w:r w:rsidR="00474C7C">
              <w:rPr>
                <w:rFonts w:ascii="Arial Narrow" w:hAnsi="Arial Narrow"/>
              </w:rPr>
              <w:t>d on TA tulemuste publitseerimisel aktiivsed, ent publitseerimise tase on töötajate ja/või alamvaldkondade lõikes väga ebaühtlane</w:t>
            </w:r>
            <w:r>
              <w:rPr>
                <w:rFonts w:ascii="Arial Narrow" w:hAnsi="Arial Narrow"/>
              </w:rPr>
              <w:t>.</w:t>
            </w:r>
            <w:r w:rsidRPr="00EE23D0">
              <w:rPr>
                <w:rFonts w:ascii="Arial Narrow" w:hAnsi="Arial Narrow"/>
              </w:rPr>
              <w:t xml:space="preserve">    </w:t>
            </w:r>
          </w:p>
          <w:p w14:paraId="52F55A44" w14:textId="77777777" w:rsidR="00DE69D6" w:rsidRDefault="00DE69D6" w:rsidP="00592287">
            <w:pPr>
              <w:rPr>
                <w:rFonts w:ascii="Arial Narrow" w:hAnsi="Arial Narrow"/>
              </w:rPr>
            </w:pPr>
          </w:p>
          <w:p w14:paraId="491F7A3E" w14:textId="68AF42A1" w:rsidR="004C7E64" w:rsidRPr="004A4E7F" w:rsidRDefault="004C7E64" w:rsidP="004C7E64">
            <w:pPr>
              <w:pStyle w:val="Default"/>
              <w:spacing w:after="27"/>
              <w:jc w:val="both"/>
              <w:rPr>
                <w:rFonts w:ascii="Arial Narrow" w:hAnsi="Arial Narrow"/>
                <w:sz w:val="22"/>
                <w:szCs w:val="22"/>
              </w:rPr>
            </w:pPr>
            <w:r>
              <w:rPr>
                <w:rFonts w:ascii="Arial Narrow" w:hAnsi="Arial Narrow"/>
                <w:sz w:val="22"/>
                <w:szCs w:val="22"/>
              </w:rPr>
              <w:br/>
            </w:r>
          </w:p>
          <w:p w14:paraId="0892063C" w14:textId="55DDDC80" w:rsidR="004C7E64" w:rsidRPr="00EE23D0" w:rsidRDefault="004C7E64" w:rsidP="004C7E64">
            <w:pPr>
              <w:rPr>
                <w:rFonts w:ascii="Arial Narrow" w:hAnsi="Arial Narrow"/>
              </w:rPr>
            </w:pPr>
          </w:p>
        </w:tc>
        <w:tc>
          <w:tcPr>
            <w:tcW w:w="4536" w:type="dxa"/>
          </w:tcPr>
          <w:p w14:paraId="6505E890" w14:textId="3FFEB5ED" w:rsidR="00DE69D6" w:rsidRPr="00EE23D0" w:rsidRDefault="00DE69D6" w:rsidP="00592287">
            <w:pPr>
              <w:rPr>
                <w:rFonts w:ascii="Arial Narrow" w:hAnsi="Arial Narrow"/>
              </w:rPr>
            </w:pPr>
            <w:r w:rsidRPr="00EE23D0">
              <w:rPr>
                <w:rFonts w:ascii="Arial Narrow" w:hAnsi="Arial Narrow"/>
              </w:rPr>
              <w:t xml:space="preserve">TA korraldus ja juhtimine on üldjoontes </w:t>
            </w:r>
            <w:r w:rsidRPr="0085339E">
              <w:rPr>
                <w:rFonts w:ascii="Arial Narrow" w:hAnsi="Arial Narrow"/>
              </w:rPr>
              <w:t xml:space="preserve">selge, ent neis on täheldatavad senisest fokuseeritumat läbimõtlemist vajavad kitsaskohad, sh valdkondliku spetsiifika arvestamise võimaluste osas.  Valdkonna </w:t>
            </w:r>
            <w:proofErr w:type="spellStart"/>
            <w:r w:rsidRPr="0085339E">
              <w:rPr>
                <w:rFonts w:ascii="Arial Narrow" w:hAnsi="Arial Narrow"/>
              </w:rPr>
              <w:t>rahastuse</w:t>
            </w:r>
            <w:proofErr w:type="spellEnd"/>
            <w:r w:rsidRPr="0085339E">
              <w:rPr>
                <w:rFonts w:ascii="Arial Narrow" w:hAnsi="Arial Narrow"/>
              </w:rPr>
              <w:t xml:space="preserve"> tagamise meetmed, </w:t>
            </w:r>
            <w:proofErr w:type="spellStart"/>
            <w:r w:rsidRPr="0085339E">
              <w:rPr>
                <w:rFonts w:ascii="Arial Narrow" w:hAnsi="Arial Narrow"/>
              </w:rPr>
              <w:t>rahastuse</w:t>
            </w:r>
            <w:proofErr w:type="spellEnd"/>
            <w:r w:rsidRPr="0085339E">
              <w:rPr>
                <w:rFonts w:ascii="Arial Narrow" w:hAnsi="Arial Narrow"/>
              </w:rPr>
              <w:t xml:space="preserve"> maht ning TA-töötajate koosseis </w:t>
            </w:r>
            <w:r w:rsidR="00BC3CB1" w:rsidRPr="0085339E">
              <w:rPr>
                <w:rFonts w:ascii="Arial Narrow" w:hAnsi="Arial Narrow"/>
              </w:rPr>
              <w:t>võimaldavad tegeleda</w:t>
            </w:r>
            <w:r w:rsidRPr="0085339E">
              <w:rPr>
                <w:rFonts w:ascii="Arial Narrow" w:hAnsi="Arial Narrow"/>
              </w:rPr>
              <w:t xml:space="preserve"> TA</w:t>
            </w:r>
            <w:r w:rsidR="00B11316">
              <w:rPr>
                <w:rFonts w:ascii="Arial Narrow" w:hAnsi="Arial Narrow"/>
              </w:rPr>
              <w:t>-</w:t>
            </w:r>
            <w:r w:rsidR="00BC3CB1" w:rsidRPr="0085339E">
              <w:rPr>
                <w:rFonts w:ascii="Arial Narrow" w:hAnsi="Arial Narrow"/>
              </w:rPr>
              <w:t>ga</w:t>
            </w:r>
            <w:r w:rsidRPr="0085339E">
              <w:rPr>
                <w:rFonts w:ascii="Arial Narrow" w:hAnsi="Arial Narrow"/>
              </w:rPr>
              <w:t xml:space="preserve"> </w:t>
            </w:r>
            <w:r w:rsidR="008A0D40" w:rsidRPr="0085339E">
              <w:rPr>
                <w:rFonts w:ascii="Arial Narrow" w:hAnsi="Arial Narrow"/>
              </w:rPr>
              <w:t xml:space="preserve">ja </w:t>
            </w:r>
            <w:r w:rsidR="00BC3CB1" w:rsidRPr="0085339E">
              <w:rPr>
                <w:rFonts w:ascii="Arial Narrow" w:hAnsi="Arial Narrow"/>
              </w:rPr>
              <w:t xml:space="preserve">läbi viia </w:t>
            </w:r>
            <w:r w:rsidR="008A0D40" w:rsidRPr="0085339E">
              <w:rPr>
                <w:rFonts w:ascii="Arial Narrow" w:hAnsi="Arial Narrow"/>
              </w:rPr>
              <w:t>doktoriõp</w:t>
            </w:r>
            <w:r w:rsidR="00BC3CB1" w:rsidRPr="0085339E">
              <w:rPr>
                <w:rFonts w:ascii="Arial Narrow" w:hAnsi="Arial Narrow"/>
              </w:rPr>
              <w:t>et</w:t>
            </w:r>
            <w:r w:rsidRPr="0085339E">
              <w:rPr>
                <w:rFonts w:ascii="Arial Narrow" w:hAnsi="Arial Narrow"/>
              </w:rPr>
              <w:t xml:space="preserve">, </w:t>
            </w:r>
            <w:r w:rsidR="0085339E" w:rsidRPr="0085339E">
              <w:rPr>
                <w:rFonts w:ascii="Arial Narrow" w:hAnsi="Arial Narrow"/>
              </w:rPr>
              <w:t>ent vajavad olulisi asutusepoolseid pingutusi jätkusuut</w:t>
            </w:r>
            <w:r w:rsidR="0085339E">
              <w:rPr>
                <w:rFonts w:ascii="Arial Narrow" w:hAnsi="Arial Narrow"/>
              </w:rPr>
              <w:softHyphen/>
            </w:r>
            <w:r w:rsidR="0085339E" w:rsidRPr="0085339E">
              <w:rPr>
                <w:rFonts w:ascii="Arial Narrow" w:hAnsi="Arial Narrow"/>
              </w:rPr>
              <w:t>likkuse tagamiseks ja potentsiaali tugevdamiseks pikemas perspektiivis</w:t>
            </w:r>
            <w:r w:rsidRPr="0085339E">
              <w:rPr>
                <w:rFonts w:ascii="Arial Narrow" w:hAnsi="Arial Narrow"/>
              </w:rPr>
              <w:t>.</w:t>
            </w:r>
            <w:r w:rsidRPr="00EE23D0">
              <w:rPr>
                <w:rFonts w:ascii="Arial Narrow" w:hAnsi="Arial Narrow"/>
              </w:rPr>
              <w:t xml:space="preserve"> </w:t>
            </w:r>
          </w:p>
          <w:p w14:paraId="2EB7C211" w14:textId="77777777" w:rsidR="00DE69D6" w:rsidRDefault="00DE69D6" w:rsidP="00592287">
            <w:pPr>
              <w:rPr>
                <w:rFonts w:ascii="Arial Narrow" w:hAnsi="Arial Narrow"/>
              </w:rPr>
            </w:pPr>
          </w:p>
          <w:p w14:paraId="05B1D2F0" w14:textId="77777777" w:rsidR="004B0BD8" w:rsidRPr="00EE23D0" w:rsidRDefault="004B0BD8" w:rsidP="004B0BD8">
            <w:pPr>
              <w:rPr>
                <w:rFonts w:ascii="Arial Narrow" w:hAnsi="Arial Narrow"/>
              </w:rPr>
            </w:pPr>
            <w:r w:rsidRPr="00EE23D0">
              <w:rPr>
                <w:rFonts w:ascii="Arial Narrow" w:hAnsi="Arial Narrow"/>
              </w:rPr>
              <w:t>Asutusel on arenguruumi valdkonna tugevuste ja arenguvajaduste määratlemisel.</w:t>
            </w:r>
          </w:p>
          <w:p w14:paraId="11F5F86A" w14:textId="57E6B736" w:rsidR="004B0BD8" w:rsidRDefault="004B0BD8" w:rsidP="004B0BD8">
            <w:pPr>
              <w:pStyle w:val="Default"/>
              <w:spacing w:after="27"/>
              <w:jc w:val="both"/>
              <w:rPr>
                <w:rFonts w:ascii="Arial Narrow" w:hAnsi="Arial Narrow"/>
                <w:sz w:val="22"/>
                <w:szCs w:val="22"/>
              </w:rPr>
            </w:pPr>
            <w:r w:rsidRPr="00EE23D0">
              <w:rPr>
                <w:rFonts w:ascii="Arial Narrow" w:hAnsi="Arial Narrow"/>
                <w:sz w:val="22"/>
                <w:szCs w:val="22"/>
              </w:rPr>
              <w:t xml:space="preserve">Uurimissuundade potentsiaal teaduslikust, </w:t>
            </w:r>
            <w:proofErr w:type="spellStart"/>
            <w:r w:rsidRPr="00EE23D0">
              <w:rPr>
                <w:rFonts w:ascii="Arial Narrow" w:hAnsi="Arial Narrow"/>
                <w:sz w:val="22"/>
                <w:szCs w:val="22"/>
              </w:rPr>
              <w:t>sotsiaal-majanduslikust</w:t>
            </w:r>
            <w:proofErr w:type="spellEnd"/>
            <w:r w:rsidRPr="00EE23D0">
              <w:rPr>
                <w:rFonts w:ascii="Arial Narrow" w:hAnsi="Arial Narrow"/>
                <w:sz w:val="22"/>
                <w:szCs w:val="22"/>
              </w:rPr>
              <w:t xml:space="preserve"> ja/või keskkonna perspektiivist on kohati </w:t>
            </w:r>
            <w:r w:rsidR="00846EC7">
              <w:rPr>
                <w:rFonts w:ascii="Arial Narrow" w:hAnsi="Arial Narrow"/>
                <w:sz w:val="22"/>
                <w:szCs w:val="22"/>
              </w:rPr>
              <w:t>selgelt väljendamata</w:t>
            </w:r>
            <w:r w:rsidRPr="00EE23D0">
              <w:rPr>
                <w:rFonts w:ascii="Arial Narrow" w:hAnsi="Arial Narrow"/>
                <w:sz w:val="22"/>
                <w:szCs w:val="22"/>
              </w:rPr>
              <w:t xml:space="preserve"> ning vajab suuremat tähelepanu. Osades uurimissuundades on valdkonna </w:t>
            </w:r>
            <w:r w:rsidRPr="00EE23D0">
              <w:rPr>
                <w:rFonts w:ascii="Arial Narrow" w:hAnsi="Arial Narrow"/>
                <w:sz w:val="22"/>
                <w:szCs w:val="22"/>
              </w:rPr>
              <w:lastRenderedPageBreak/>
              <w:t>potentsiaal ammendunud/ ammendumas; selle suurendamiseks ei ole tehtud märgatavaid pingutusi.</w:t>
            </w:r>
          </w:p>
          <w:p w14:paraId="0810C067" w14:textId="77777777" w:rsidR="004B0BD8" w:rsidRPr="00EE23D0" w:rsidRDefault="004B0BD8" w:rsidP="00592287">
            <w:pPr>
              <w:rPr>
                <w:rFonts w:ascii="Arial Narrow" w:hAnsi="Arial Narrow"/>
              </w:rPr>
            </w:pPr>
          </w:p>
          <w:p w14:paraId="5A9CD347" w14:textId="0A2DDC2D" w:rsidR="00DE69D6" w:rsidRPr="00EE23D0" w:rsidRDefault="00DE69D6" w:rsidP="00592287">
            <w:pPr>
              <w:rPr>
                <w:rFonts w:ascii="Arial Narrow" w:hAnsi="Arial Narrow"/>
              </w:rPr>
            </w:pPr>
            <w:r w:rsidRPr="00EE23D0">
              <w:rPr>
                <w:rFonts w:ascii="Arial Narrow" w:hAnsi="Arial Narrow"/>
              </w:rPr>
              <w:t xml:space="preserve">Taristu on </w:t>
            </w:r>
            <w:r w:rsidR="006128BC" w:rsidRPr="00EE23D0">
              <w:rPr>
                <w:rFonts w:ascii="Arial Narrow" w:hAnsi="Arial Narrow"/>
              </w:rPr>
              <w:t xml:space="preserve">teadustöö </w:t>
            </w:r>
            <w:r w:rsidR="008A0D40">
              <w:rPr>
                <w:rFonts w:ascii="Arial Narrow" w:hAnsi="Arial Narrow"/>
              </w:rPr>
              <w:t xml:space="preserve">ja doktoriõppe läbiviimiseks (ülikoolide puhul) </w:t>
            </w:r>
            <w:r w:rsidR="006128BC" w:rsidRPr="00EE23D0">
              <w:rPr>
                <w:rFonts w:ascii="Arial Narrow" w:hAnsi="Arial Narrow"/>
              </w:rPr>
              <w:t xml:space="preserve">läbiviimiseks </w:t>
            </w:r>
            <w:r w:rsidR="00474C7C">
              <w:rPr>
                <w:rFonts w:ascii="Arial Narrow" w:hAnsi="Arial Narrow"/>
              </w:rPr>
              <w:t>rahulda</w:t>
            </w:r>
            <w:r w:rsidR="006128BC" w:rsidRPr="00EE23D0">
              <w:rPr>
                <w:rFonts w:ascii="Arial Narrow" w:hAnsi="Arial Narrow"/>
              </w:rPr>
              <w:t>vas</w:t>
            </w:r>
            <w:r w:rsidRPr="00EE23D0">
              <w:rPr>
                <w:rFonts w:ascii="Arial Narrow" w:hAnsi="Arial Narrow"/>
              </w:rPr>
              <w:t xml:space="preserve"> seisukorras</w:t>
            </w:r>
            <w:r w:rsidR="006128BC" w:rsidRPr="00EE23D0">
              <w:rPr>
                <w:rFonts w:ascii="Arial Narrow" w:hAnsi="Arial Narrow"/>
              </w:rPr>
              <w:t>, ent vaja</w:t>
            </w:r>
            <w:r w:rsidR="00474C7C">
              <w:rPr>
                <w:rFonts w:ascii="Arial Narrow" w:hAnsi="Arial Narrow"/>
              </w:rPr>
              <w:t xml:space="preserve">b TA kvaliteedi tõstmiseks </w:t>
            </w:r>
            <w:r w:rsidR="006128BC" w:rsidRPr="00EE23D0">
              <w:rPr>
                <w:rFonts w:ascii="Arial Narrow" w:hAnsi="Arial Narrow"/>
              </w:rPr>
              <w:t>parendamist</w:t>
            </w:r>
            <w:r w:rsidRPr="00EE23D0">
              <w:rPr>
                <w:rFonts w:ascii="Arial Narrow" w:hAnsi="Arial Narrow"/>
              </w:rPr>
              <w:t>.</w:t>
            </w:r>
          </w:p>
          <w:p w14:paraId="4D62211C" w14:textId="77777777" w:rsidR="00DE69D6" w:rsidRPr="00EE23D0" w:rsidRDefault="00DE69D6" w:rsidP="00592287">
            <w:pPr>
              <w:rPr>
                <w:rFonts w:ascii="Arial Narrow" w:hAnsi="Arial Narrow"/>
              </w:rPr>
            </w:pPr>
          </w:p>
          <w:p w14:paraId="269BFB4C" w14:textId="1C646FCF" w:rsidR="004D3E49" w:rsidRDefault="004D3E49" w:rsidP="00592287">
            <w:pPr>
              <w:pStyle w:val="Default"/>
              <w:spacing w:after="27"/>
              <w:jc w:val="both"/>
              <w:rPr>
                <w:rFonts w:ascii="Arial Narrow" w:hAnsi="Arial Narrow"/>
                <w:sz w:val="22"/>
                <w:szCs w:val="22"/>
              </w:rPr>
            </w:pPr>
            <w:r>
              <w:rPr>
                <w:rFonts w:ascii="Arial Narrow" w:hAnsi="Arial Narrow"/>
                <w:sz w:val="22"/>
                <w:szCs w:val="22"/>
              </w:rPr>
              <w:t>(Ülikoolide puhul) Enamik</w:t>
            </w:r>
            <w:r w:rsidR="00BC3CB1">
              <w:rPr>
                <w:rFonts w:ascii="Arial Narrow" w:hAnsi="Arial Narrow"/>
                <w:sz w:val="22"/>
                <w:szCs w:val="22"/>
              </w:rPr>
              <w:t>u</w:t>
            </w:r>
            <w:r>
              <w:rPr>
                <w:rFonts w:ascii="Arial Narrow" w:hAnsi="Arial Narrow"/>
                <w:sz w:val="22"/>
                <w:szCs w:val="22"/>
              </w:rPr>
              <w:t xml:space="preserve"> valdkonnaga seotud doktoriõppekavade aluseks </w:t>
            </w:r>
            <w:r w:rsidR="00025331">
              <w:rPr>
                <w:rFonts w:ascii="Arial Narrow" w:hAnsi="Arial Narrow"/>
                <w:sz w:val="22"/>
                <w:szCs w:val="22"/>
              </w:rPr>
              <w:t>olev</w:t>
            </w:r>
            <w:r>
              <w:rPr>
                <w:rFonts w:ascii="Arial Narrow" w:hAnsi="Arial Narrow"/>
                <w:sz w:val="22"/>
                <w:szCs w:val="22"/>
              </w:rPr>
              <w:t xml:space="preserve"> TA </w:t>
            </w:r>
            <w:r w:rsidR="00025331">
              <w:rPr>
                <w:rFonts w:ascii="Arial Narrow" w:hAnsi="Arial Narrow"/>
                <w:sz w:val="22"/>
                <w:szCs w:val="22"/>
              </w:rPr>
              <w:t xml:space="preserve">on </w:t>
            </w:r>
            <w:r>
              <w:rPr>
                <w:rFonts w:ascii="Arial Narrow" w:hAnsi="Arial Narrow"/>
                <w:sz w:val="22"/>
                <w:szCs w:val="22"/>
              </w:rPr>
              <w:t xml:space="preserve">vähemalt rahuldaval rahvusvahelisel tasemel, kuid mõne õppekava puhul on tase mitterahuldav (Sellise olukorra tekkimisel toob komisjon välja õppekavad, mille tase </w:t>
            </w:r>
            <w:r w:rsidRPr="0085339E">
              <w:rPr>
                <w:rFonts w:ascii="Arial Narrow" w:hAnsi="Arial Narrow"/>
                <w:sz w:val="22"/>
                <w:szCs w:val="22"/>
              </w:rPr>
              <w:t xml:space="preserve">on </w:t>
            </w:r>
            <w:r w:rsidR="00BC3CB1" w:rsidRPr="0085339E">
              <w:rPr>
                <w:rFonts w:ascii="Arial Narrow" w:hAnsi="Arial Narrow"/>
                <w:sz w:val="22"/>
                <w:szCs w:val="22"/>
              </w:rPr>
              <w:t>mitte</w:t>
            </w:r>
            <w:r w:rsidRPr="0085339E">
              <w:rPr>
                <w:rFonts w:ascii="Arial Narrow" w:hAnsi="Arial Narrow"/>
                <w:sz w:val="22"/>
                <w:szCs w:val="22"/>
              </w:rPr>
              <w:t>rahuldav</w:t>
            </w:r>
            <w:r>
              <w:rPr>
                <w:rFonts w:ascii="Arial Narrow" w:hAnsi="Arial Narrow"/>
                <w:sz w:val="22"/>
                <w:szCs w:val="22"/>
              </w:rPr>
              <w:t>)</w:t>
            </w:r>
            <w:r w:rsidR="00BC3CB1">
              <w:rPr>
                <w:rFonts w:ascii="Arial Narrow" w:hAnsi="Arial Narrow"/>
                <w:sz w:val="22"/>
                <w:szCs w:val="22"/>
              </w:rPr>
              <w:t xml:space="preserve"> </w:t>
            </w:r>
            <w:r w:rsidR="001661E6">
              <w:rPr>
                <w:rFonts w:ascii="Arial Narrow" w:hAnsi="Arial Narrow"/>
                <w:sz w:val="22"/>
                <w:szCs w:val="22"/>
              </w:rPr>
              <w:t>või on tasemete erinevus õppekavade lõikes nii suur, et ei ole võimalik hinnata tulemust heaks</w:t>
            </w:r>
            <w:r>
              <w:rPr>
                <w:rFonts w:ascii="Arial Narrow" w:hAnsi="Arial Narrow"/>
                <w:sz w:val="22"/>
                <w:szCs w:val="22"/>
              </w:rPr>
              <w:t>.</w:t>
            </w:r>
          </w:p>
          <w:p w14:paraId="4CDF7935" w14:textId="77777777" w:rsidR="004D3E49" w:rsidRPr="00EE23D0" w:rsidRDefault="004D3E49" w:rsidP="00592287">
            <w:pPr>
              <w:pStyle w:val="Default"/>
              <w:spacing w:after="27"/>
              <w:jc w:val="both"/>
              <w:rPr>
                <w:rFonts w:ascii="Arial Narrow" w:hAnsi="Arial Narrow"/>
                <w:sz w:val="22"/>
                <w:szCs w:val="22"/>
              </w:rPr>
            </w:pPr>
          </w:p>
        </w:tc>
        <w:tc>
          <w:tcPr>
            <w:tcW w:w="4394" w:type="dxa"/>
          </w:tcPr>
          <w:p w14:paraId="3439C93C" w14:textId="29961832" w:rsidR="00DE69D6" w:rsidRPr="00EE23D0" w:rsidRDefault="00DE69D6" w:rsidP="00592287">
            <w:pPr>
              <w:rPr>
                <w:rFonts w:ascii="Arial Narrow" w:hAnsi="Arial Narrow"/>
              </w:rPr>
            </w:pPr>
            <w:r w:rsidRPr="00EE23D0">
              <w:rPr>
                <w:rFonts w:ascii="Arial Narrow" w:hAnsi="Arial Narrow"/>
              </w:rPr>
              <w:lastRenderedPageBreak/>
              <w:t xml:space="preserve">TA arendamisel on üksikutes suundades seosed ühiskonna arengutrendide- ja vajadustega (nt aktuaalsete teemade uurimise või tellitud rakendusuuringute kaudu, TA-töötajate osalemise kaudu asutusevälistes olulistes arendus- ja otsustuskogudes jms).  </w:t>
            </w:r>
          </w:p>
          <w:p w14:paraId="51748E61" w14:textId="77777777" w:rsidR="00DE69D6" w:rsidRPr="00EE23D0" w:rsidRDefault="00DE69D6" w:rsidP="00592287">
            <w:pPr>
              <w:rPr>
                <w:rFonts w:ascii="Arial Narrow" w:hAnsi="Arial Narrow"/>
              </w:rPr>
            </w:pPr>
          </w:p>
          <w:p w14:paraId="7F86F4CE" w14:textId="657D1224" w:rsidR="00DE69D6" w:rsidRPr="00EE23D0" w:rsidRDefault="00DE69D6" w:rsidP="00891732">
            <w:pPr>
              <w:rPr>
                <w:rFonts w:ascii="Arial Narrow" w:hAnsi="Arial Narrow"/>
              </w:rPr>
            </w:pPr>
            <w:r w:rsidRPr="00EE23D0">
              <w:rPr>
                <w:rFonts w:ascii="Arial Narrow" w:hAnsi="Arial Narrow"/>
              </w:rPr>
              <w:t xml:space="preserve">Asutuse TA suunamisel </w:t>
            </w:r>
            <w:r w:rsidR="00474C7C">
              <w:rPr>
                <w:rFonts w:ascii="Arial Narrow" w:hAnsi="Arial Narrow"/>
              </w:rPr>
              <w:t xml:space="preserve">on </w:t>
            </w:r>
            <w:r w:rsidR="00697768">
              <w:rPr>
                <w:rFonts w:ascii="Arial Narrow" w:hAnsi="Arial Narrow"/>
              </w:rPr>
              <w:t>üksikutes aspektides</w:t>
            </w:r>
            <w:r w:rsidR="00474C7C">
              <w:rPr>
                <w:rFonts w:ascii="Arial Narrow" w:hAnsi="Arial Narrow"/>
              </w:rPr>
              <w:t xml:space="preserve"> </w:t>
            </w:r>
            <w:r w:rsidRPr="00EE23D0">
              <w:rPr>
                <w:rFonts w:ascii="Arial Narrow" w:hAnsi="Arial Narrow"/>
              </w:rPr>
              <w:t>käsitletud selle rolli ja vastutust ühiskonnas ning TA ühiskondliku mõju hindamist.</w:t>
            </w:r>
          </w:p>
        </w:tc>
      </w:tr>
      <w:tr w:rsidR="00DE69D6" w:rsidRPr="00EE23D0" w14:paraId="196D73DA" w14:textId="77777777" w:rsidTr="00592287">
        <w:trPr>
          <w:trHeight w:val="296"/>
        </w:trPr>
        <w:tc>
          <w:tcPr>
            <w:tcW w:w="1271" w:type="dxa"/>
          </w:tcPr>
          <w:p w14:paraId="48F04DE2" w14:textId="77777777" w:rsidR="00DE69D6" w:rsidRPr="00EE23D0" w:rsidRDefault="00DE69D6" w:rsidP="00592287">
            <w:pPr>
              <w:rPr>
                <w:rFonts w:ascii="Arial Narrow" w:hAnsi="Arial Narrow"/>
              </w:rPr>
            </w:pPr>
            <w:r w:rsidRPr="00EE23D0">
              <w:rPr>
                <w:rFonts w:ascii="Arial Narrow" w:hAnsi="Arial Narrow"/>
              </w:rPr>
              <w:lastRenderedPageBreak/>
              <w:t>Mitte</w:t>
            </w:r>
            <w:r w:rsidRPr="00EE23D0">
              <w:rPr>
                <w:rFonts w:ascii="Arial Narrow" w:hAnsi="Arial Narrow"/>
              </w:rPr>
              <w:softHyphen/>
              <w:t>rahuldav</w:t>
            </w:r>
          </w:p>
        </w:tc>
        <w:tc>
          <w:tcPr>
            <w:tcW w:w="4253" w:type="dxa"/>
          </w:tcPr>
          <w:p w14:paraId="0CB609C2" w14:textId="54221A49" w:rsidR="00DE69D6" w:rsidRPr="00EE23D0" w:rsidRDefault="001F77FF" w:rsidP="00891732">
            <w:pPr>
              <w:rPr>
                <w:rFonts w:ascii="Arial Narrow" w:hAnsi="Arial Narrow"/>
              </w:rPr>
            </w:pPr>
            <w:r>
              <w:rPr>
                <w:rFonts w:ascii="Arial Narrow" w:hAnsi="Arial Narrow"/>
              </w:rPr>
              <w:t>R</w:t>
            </w:r>
            <w:r w:rsidR="00DE69D6" w:rsidRPr="00EE23D0">
              <w:rPr>
                <w:rFonts w:ascii="Arial Narrow" w:hAnsi="Arial Narrow"/>
              </w:rPr>
              <w:t xml:space="preserve">ahuldaval rahvusvahelisel tasemel TA sisuliselt puudub või üksikud kõrgemal tasemel tööd ei anna tunnistust rahuldava taseme kohta valdkonnas tervikuna. </w:t>
            </w:r>
            <w:r w:rsidR="00BE7440">
              <w:rPr>
                <w:rFonts w:ascii="Arial Narrow" w:hAnsi="Arial Narrow"/>
              </w:rPr>
              <w:t>E</w:t>
            </w:r>
            <w:r w:rsidR="00DE69D6" w:rsidRPr="00EE23D0">
              <w:rPr>
                <w:rFonts w:ascii="Arial Narrow" w:hAnsi="Arial Narrow"/>
              </w:rPr>
              <w:t xml:space="preserve">i ole suudetud rakendada meetmeid valdkonna teadusliku taseme tõstmisele. </w:t>
            </w:r>
          </w:p>
        </w:tc>
        <w:tc>
          <w:tcPr>
            <w:tcW w:w="4536" w:type="dxa"/>
          </w:tcPr>
          <w:p w14:paraId="7083F6D0" w14:textId="13767EE5" w:rsidR="00617302" w:rsidRDefault="00DE69D6" w:rsidP="00592287">
            <w:pPr>
              <w:rPr>
                <w:rFonts w:ascii="Arial Narrow" w:hAnsi="Arial Narrow"/>
              </w:rPr>
            </w:pPr>
            <w:r w:rsidRPr="0085339E">
              <w:rPr>
                <w:rFonts w:ascii="Arial Narrow" w:hAnsi="Arial Narrow"/>
              </w:rPr>
              <w:t>Valdkonna rahastus</w:t>
            </w:r>
            <w:r w:rsidR="00BE7440" w:rsidRPr="0085339E">
              <w:rPr>
                <w:rFonts w:ascii="Arial Narrow" w:hAnsi="Arial Narrow"/>
              </w:rPr>
              <w:t xml:space="preserve"> on väga ebaühtlane või ebapiisav, </w:t>
            </w:r>
            <w:r w:rsidRPr="0085339E">
              <w:rPr>
                <w:rFonts w:ascii="Arial Narrow" w:hAnsi="Arial Narrow"/>
              </w:rPr>
              <w:t>TA-töötajate koosseis</w:t>
            </w:r>
            <w:r w:rsidR="00BE7440" w:rsidRPr="0085339E">
              <w:rPr>
                <w:rFonts w:ascii="Arial Narrow" w:hAnsi="Arial Narrow"/>
              </w:rPr>
              <w:t xml:space="preserve"> e</w:t>
            </w:r>
            <w:r w:rsidRPr="0085339E">
              <w:rPr>
                <w:rFonts w:ascii="Arial Narrow" w:hAnsi="Arial Narrow"/>
              </w:rPr>
              <w:t>i anna tunnistust</w:t>
            </w:r>
            <w:r w:rsidRPr="00EE23D0">
              <w:rPr>
                <w:rFonts w:ascii="Arial Narrow" w:hAnsi="Arial Narrow"/>
              </w:rPr>
              <w:t xml:space="preserve"> TA</w:t>
            </w:r>
            <w:r w:rsidRPr="0085339E">
              <w:rPr>
                <w:rFonts w:ascii="Arial Narrow" w:hAnsi="Arial Narrow"/>
              </w:rPr>
              <w:t xml:space="preserve"> jätkusuutlikk</w:t>
            </w:r>
            <w:r w:rsidR="00891732">
              <w:rPr>
                <w:rFonts w:ascii="Arial Narrow" w:hAnsi="Arial Narrow"/>
              </w:rPr>
              <w:t>usest tulevikuperspektiivis. TA</w:t>
            </w:r>
            <w:r w:rsidRPr="0085339E">
              <w:rPr>
                <w:rFonts w:ascii="Arial Narrow" w:hAnsi="Arial Narrow"/>
              </w:rPr>
              <w:t xml:space="preserve"> arendamisel puudub potentsiaal teaduslikust ja/või </w:t>
            </w:r>
            <w:proofErr w:type="spellStart"/>
            <w:r w:rsidRPr="0085339E">
              <w:rPr>
                <w:rFonts w:ascii="Arial Narrow" w:hAnsi="Arial Narrow"/>
              </w:rPr>
              <w:t>sotsiaal-majanduslikust</w:t>
            </w:r>
            <w:proofErr w:type="spellEnd"/>
            <w:r w:rsidRPr="0085339E">
              <w:rPr>
                <w:rFonts w:ascii="Arial Narrow" w:hAnsi="Arial Narrow"/>
              </w:rPr>
              <w:t xml:space="preserve"> perspektiivist.</w:t>
            </w:r>
            <w:r w:rsidRPr="00EE23D0">
              <w:rPr>
                <w:rFonts w:ascii="Arial Narrow" w:hAnsi="Arial Narrow"/>
              </w:rPr>
              <w:t xml:space="preserve"> </w:t>
            </w:r>
          </w:p>
          <w:p w14:paraId="3EA110F2" w14:textId="11A071DE" w:rsidR="00DE69D6" w:rsidRDefault="00DE69D6" w:rsidP="00592287">
            <w:pPr>
              <w:rPr>
                <w:rFonts w:ascii="Arial Narrow" w:hAnsi="Arial Narrow"/>
              </w:rPr>
            </w:pPr>
          </w:p>
          <w:p w14:paraId="6B043157" w14:textId="77777777" w:rsidR="004B0BD8" w:rsidRPr="00EE23D0" w:rsidRDefault="004B0BD8" w:rsidP="004B0BD8">
            <w:pPr>
              <w:rPr>
                <w:rFonts w:ascii="Arial Narrow" w:hAnsi="Arial Narrow"/>
              </w:rPr>
            </w:pPr>
            <w:r w:rsidRPr="00EE23D0">
              <w:rPr>
                <w:rFonts w:ascii="Arial Narrow" w:hAnsi="Arial Narrow"/>
              </w:rPr>
              <w:t>Asutuses on selgelt määratlemata valdkonna tugevused ja arenguvajadused.</w:t>
            </w:r>
          </w:p>
          <w:p w14:paraId="1AE5C50D" w14:textId="77777777" w:rsidR="004B0BD8" w:rsidRDefault="004B0BD8" w:rsidP="004B0BD8">
            <w:pPr>
              <w:rPr>
                <w:rFonts w:ascii="Arial Narrow" w:hAnsi="Arial Narrow"/>
              </w:rPr>
            </w:pPr>
            <w:r w:rsidRPr="00EE23D0">
              <w:rPr>
                <w:rFonts w:ascii="Arial Narrow" w:hAnsi="Arial Narrow"/>
              </w:rPr>
              <w:t xml:space="preserve">Uurimissuundade potentsiaal teaduslikust, </w:t>
            </w:r>
            <w:proofErr w:type="spellStart"/>
            <w:r w:rsidRPr="00EE23D0">
              <w:rPr>
                <w:rFonts w:ascii="Arial Narrow" w:hAnsi="Arial Narrow"/>
              </w:rPr>
              <w:t>sotsiaal-majanduslikust</w:t>
            </w:r>
            <w:proofErr w:type="spellEnd"/>
            <w:r w:rsidRPr="00EE23D0">
              <w:rPr>
                <w:rFonts w:ascii="Arial Narrow" w:hAnsi="Arial Narrow"/>
              </w:rPr>
              <w:t xml:space="preserve"> ja/või keskkonna perspektiivist mitmetes uurimissuundades ammendunud/ ammendumas; potentsiaali loomiseks on vajalikud märkimisväärsed ümberkorraldused.</w:t>
            </w:r>
          </w:p>
          <w:p w14:paraId="34A9A3F8" w14:textId="77777777" w:rsidR="004B0BD8" w:rsidRPr="00EE23D0" w:rsidRDefault="004B0BD8" w:rsidP="00592287">
            <w:pPr>
              <w:rPr>
                <w:rFonts w:ascii="Arial Narrow" w:hAnsi="Arial Narrow"/>
              </w:rPr>
            </w:pPr>
          </w:p>
          <w:p w14:paraId="4413F9F7" w14:textId="47CA6998" w:rsidR="00DE69D6" w:rsidRPr="00EE23D0" w:rsidRDefault="00DE69D6" w:rsidP="00592287">
            <w:pPr>
              <w:rPr>
                <w:rFonts w:ascii="Arial Narrow" w:hAnsi="Arial Narrow"/>
              </w:rPr>
            </w:pPr>
            <w:r w:rsidRPr="00EE23D0">
              <w:rPr>
                <w:rFonts w:ascii="Arial Narrow" w:hAnsi="Arial Narrow"/>
              </w:rPr>
              <w:t xml:space="preserve">Taristu on </w:t>
            </w:r>
            <w:r w:rsidR="007E4F39">
              <w:rPr>
                <w:rFonts w:ascii="Arial Narrow" w:hAnsi="Arial Narrow"/>
              </w:rPr>
              <w:t xml:space="preserve">väga </w:t>
            </w:r>
            <w:r w:rsidRPr="00EE23D0">
              <w:rPr>
                <w:rFonts w:ascii="Arial Narrow" w:hAnsi="Arial Narrow"/>
              </w:rPr>
              <w:t>ebaühtlases</w:t>
            </w:r>
            <w:r w:rsidR="007E4F39">
              <w:rPr>
                <w:rFonts w:ascii="Arial Narrow" w:hAnsi="Arial Narrow"/>
              </w:rPr>
              <w:t xml:space="preserve"> või halvas </w:t>
            </w:r>
            <w:r w:rsidRPr="00EE23D0">
              <w:rPr>
                <w:rFonts w:ascii="Arial Narrow" w:hAnsi="Arial Narrow"/>
              </w:rPr>
              <w:t xml:space="preserve">seisukorras </w:t>
            </w:r>
            <w:r w:rsidR="0085339E">
              <w:rPr>
                <w:rFonts w:ascii="Arial Narrow" w:hAnsi="Arial Narrow"/>
              </w:rPr>
              <w:t>(ei vasta olulises osas kaasaegsetele valdkondlikele standarditele või tugineb olulises osas mõne teise asutuse taristule)</w:t>
            </w:r>
          </w:p>
          <w:p w14:paraId="4D6961B4" w14:textId="77777777" w:rsidR="00DE69D6" w:rsidRPr="00EE23D0" w:rsidRDefault="00DE69D6" w:rsidP="00592287">
            <w:pPr>
              <w:rPr>
                <w:rFonts w:ascii="Arial Narrow" w:hAnsi="Arial Narrow"/>
              </w:rPr>
            </w:pPr>
          </w:p>
          <w:p w14:paraId="57F9B96B" w14:textId="2589D7BC" w:rsidR="00B4486A" w:rsidRPr="00B4486A" w:rsidRDefault="00B4486A" w:rsidP="00891732">
            <w:pPr>
              <w:pStyle w:val="Default"/>
              <w:spacing w:after="27"/>
              <w:jc w:val="both"/>
              <w:rPr>
                <w:rFonts w:ascii="Arial Narrow" w:hAnsi="Arial Narrow"/>
                <w:sz w:val="22"/>
                <w:szCs w:val="22"/>
              </w:rPr>
            </w:pPr>
            <w:r w:rsidRPr="00025331">
              <w:rPr>
                <w:rFonts w:ascii="Arial Narrow" w:hAnsi="Arial Narrow"/>
                <w:sz w:val="22"/>
                <w:szCs w:val="22"/>
              </w:rPr>
              <w:t xml:space="preserve">(Ülikoolide puhul) Enamike valdkonnaga seotud doktoriõppekavade aluseks </w:t>
            </w:r>
            <w:proofErr w:type="spellStart"/>
            <w:r w:rsidR="00025331" w:rsidRPr="00025331">
              <w:rPr>
                <w:rFonts w:ascii="Arial Narrow" w:hAnsi="Arial Narrow"/>
                <w:sz w:val="22"/>
                <w:szCs w:val="22"/>
              </w:rPr>
              <w:t>aluseks</w:t>
            </w:r>
            <w:proofErr w:type="spellEnd"/>
            <w:r w:rsidR="00891732">
              <w:rPr>
                <w:rFonts w:ascii="Arial Narrow" w:hAnsi="Arial Narrow"/>
                <w:sz w:val="22"/>
                <w:szCs w:val="22"/>
              </w:rPr>
              <w:t xml:space="preserve"> olev TA</w:t>
            </w:r>
            <w:r w:rsidR="00025331">
              <w:rPr>
                <w:rFonts w:ascii="Arial Narrow" w:hAnsi="Arial Narrow"/>
                <w:sz w:val="22"/>
                <w:szCs w:val="22"/>
              </w:rPr>
              <w:t xml:space="preserve"> on </w:t>
            </w:r>
            <w:r>
              <w:rPr>
                <w:rFonts w:ascii="Arial Narrow" w:hAnsi="Arial Narrow"/>
                <w:sz w:val="22"/>
                <w:szCs w:val="22"/>
              </w:rPr>
              <w:t>nõrgal rahvusvahelisel tasemel.</w:t>
            </w:r>
          </w:p>
        </w:tc>
        <w:tc>
          <w:tcPr>
            <w:tcW w:w="4394" w:type="dxa"/>
          </w:tcPr>
          <w:p w14:paraId="224B316A" w14:textId="7AC63D99" w:rsidR="00DE69D6" w:rsidRPr="00EE23D0" w:rsidRDefault="00DE69D6" w:rsidP="00592287">
            <w:pPr>
              <w:rPr>
                <w:rFonts w:ascii="Arial Narrow" w:hAnsi="Arial Narrow"/>
              </w:rPr>
            </w:pPr>
            <w:r w:rsidRPr="00EE23D0">
              <w:rPr>
                <w:rFonts w:ascii="Arial Narrow" w:hAnsi="Arial Narrow"/>
              </w:rPr>
              <w:lastRenderedPageBreak/>
              <w:t xml:space="preserve">Asutusel puudub valdkonna arendamisel selge ja fokuseeritud </w:t>
            </w:r>
            <w:r w:rsidR="005F70D9">
              <w:rPr>
                <w:rFonts w:ascii="Arial Narrow" w:hAnsi="Arial Narrow"/>
              </w:rPr>
              <w:t>lähenemine</w:t>
            </w:r>
            <w:r w:rsidRPr="00EE23D0">
              <w:rPr>
                <w:rFonts w:ascii="Arial Narrow" w:hAnsi="Arial Narrow"/>
              </w:rPr>
              <w:t xml:space="preserve"> ühiskonna arengutrendide</w:t>
            </w:r>
            <w:r w:rsidR="005F70D9">
              <w:rPr>
                <w:rFonts w:ascii="Arial Narrow" w:hAnsi="Arial Narrow"/>
              </w:rPr>
              <w:t>le</w:t>
            </w:r>
            <w:r w:rsidRPr="00EE23D0">
              <w:rPr>
                <w:rFonts w:ascii="Arial Narrow" w:hAnsi="Arial Narrow"/>
              </w:rPr>
              <w:t xml:space="preserve"> ja -vajaduste</w:t>
            </w:r>
            <w:r w:rsidR="005F70D9">
              <w:rPr>
                <w:rFonts w:ascii="Arial Narrow" w:hAnsi="Arial Narrow"/>
              </w:rPr>
              <w:t>le</w:t>
            </w:r>
            <w:r w:rsidRPr="00EE23D0">
              <w:rPr>
                <w:rFonts w:ascii="Arial Narrow" w:hAnsi="Arial Narrow"/>
              </w:rPr>
              <w:t xml:space="preserve"> </w:t>
            </w:r>
            <w:r w:rsidR="000C7864">
              <w:rPr>
                <w:rFonts w:ascii="Arial Narrow" w:hAnsi="Arial Narrow"/>
              </w:rPr>
              <w:t xml:space="preserve">ning arusaam </w:t>
            </w:r>
            <w:r w:rsidR="005F70D9">
              <w:rPr>
                <w:rFonts w:ascii="Arial Narrow" w:hAnsi="Arial Narrow"/>
              </w:rPr>
              <w:t xml:space="preserve">nendega arvestamise </w:t>
            </w:r>
            <w:r w:rsidR="000C7864">
              <w:rPr>
                <w:rFonts w:ascii="Arial Narrow" w:hAnsi="Arial Narrow"/>
              </w:rPr>
              <w:t>olulisusest</w:t>
            </w:r>
            <w:r w:rsidRPr="00EE23D0">
              <w:rPr>
                <w:rFonts w:ascii="Arial Narrow" w:hAnsi="Arial Narrow"/>
              </w:rPr>
              <w:t xml:space="preserve">.  </w:t>
            </w:r>
            <w:r w:rsidR="00891732">
              <w:rPr>
                <w:rFonts w:ascii="Arial Narrow" w:hAnsi="Arial Narrow"/>
              </w:rPr>
              <w:t>TA</w:t>
            </w:r>
            <w:r w:rsidR="00214691">
              <w:rPr>
                <w:rFonts w:ascii="Arial Narrow" w:hAnsi="Arial Narrow"/>
              </w:rPr>
              <w:t xml:space="preserve"> ühiskondlikku mõju ei hinnata.</w:t>
            </w:r>
          </w:p>
          <w:p w14:paraId="39B3666E" w14:textId="44D3321F" w:rsidR="00DE69D6" w:rsidRPr="00EE23D0" w:rsidRDefault="00DE69D6" w:rsidP="00592287">
            <w:pPr>
              <w:rPr>
                <w:rFonts w:ascii="Arial Narrow" w:hAnsi="Arial Narrow"/>
              </w:rPr>
            </w:pPr>
          </w:p>
          <w:p w14:paraId="326D6945" w14:textId="77777777" w:rsidR="00DE69D6" w:rsidRPr="00EE23D0" w:rsidRDefault="00DE69D6" w:rsidP="00592287">
            <w:pPr>
              <w:rPr>
                <w:rFonts w:ascii="Arial Narrow" w:hAnsi="Arial Narrow"/>
              </w:rPr>
            </w:pPr>
          </w:p>
          <w:p w14:paraId="2A6C57B5" w14:textId="77777777" w:rsidR="00DE69D6" w:rsidRPr="00EE23D0" w:rsidRDefault="00DE69D6" w:rsidP="00592287">
            <w:pPr>
              <w:rPr>
                <w:rFonts w:ascii="Arial Narrow" w:hAnsi="Arial Narrow"/>
              </w:rPr>
            </w:pPr>
          </w:p>
        </w:tc>
      </w:tr>
      <w:tr w:rsidR="00DE69D6" w:rsidRPr="00EE23D0" w14:paraId="61ADEF9B" w14:textId="77777777" w:rsidTr="00592287">
        <w:trPr>
          <w:trHeight w:val="890"/>
        </w:trPr>
        <w:tc>
          <w:tcPr>
            <w:tcW w:w="1271" w:type="dxa"/>
          </w:tcPr>
          <w:p w14:paraId="17023569" w14:textId="77777777" w:rsidR="00DE69D6" w:rsidRPr="00EE23D0" w:rsidRDefault="00DE69D6" w:rsidP="00592287">
            <w:pPr>
              <w:rPr>
                <w:rFonts w:ascii="Arial Narrow" w:hAnsi="Arial Narrow"/>
              </w:rPr>
            </w:pPr>
            <w:r w:rsidRPr="00EE23D0">
              <w:rPr>
                <w:rFonts w:ascii="Arial Narrow" w:hAnsi="Arial Narrow"/>
              </w:rPr>
              <w:lastRenderedPageBreak/>
              <w:t>Tunnustust väärivad aspektid</w:t>
            </w:r>
          </w:p>
        </w:tc>
        <w:tc>
          <w:tcPr>
            <w:tcW w:w="4253" w:type="dxa"/>
          </w:tcPr>
          <w:p w14:paraId="4AC7ADFF" w14:textId="77777777" w:rsidR="00DE69D6" w:rsidRPr="00EE23D0" w:rsidRDefault="00DE69D6" w:rsidP="00592287">
            <w:pPr>
              <w:rPr>
                <w:rFonts w:ascii="Arial Narrow" w:hAnsi="Arial Narrow"/>
                <w:i/>
              </w:rPr>
            </w:pPr>
            <w:r w:rsidRPr="00EE23D0">
              <w:rPr>
                <w:rFonts w:ascii="Arial Narrow" w:hAnsi="Arial Narrow"/>
                <w:i/>
              </w:rPr>
              <w:t>Täpsustab hindamiskomisjon, juhul kui asjakohane</w:t>
            </w:r>
          </w:p>
        </w:tc>
        <w:tc>
          <w:tcPr>
            <w:tcW w:w="4536" w:type="dxa"/>
          </w:tcPr>
          <w:p w14:paraId="696AF9F5" w14:textId="77777777" w:rsidR="00DE69D6" w:rsidRPr="00EE23D0" w:rsidRDefault="00DE69D6" w:rsidP="00592287">
            <w:pPr>
              <w:rPr>
                <w:rFonts w:ascii="Arial Narrow" w:hAnsi="Arial Narrow"/>
                <w:i/>
              </w:rPr>
            </w:pPr>
            <w:r w:rsidRPr="00EE23D0">
              <w:rPr>
                <w:rFonts w:ascii="Arial Narrow" w:hAnsi="Arial Narrow"/>
                <w:i/>
              </w:rPr>
              <w:t>Täpsustab hindamiskomisjon, juhul kui asjakohane</w:t>
            </w:r>
          </w:p>
        </w:tc>
        <w:tc>
          <w:tcPr>
            <w:tcW w:w="4394" w:type="dxa"/>
          </w:tcPr>
          <w:p w14:paraId="4804228A" w14:textId="77777777" w:rsidR="00DE69D6" w:rsidRPr="00EE23D0" w:rsidRDefault="00DE69D6" w:rsidP="00592287">
            <w:pPr>
              <w:rPr>
                <w:rFonts w:ascii="Arial Narrow" w:hAnsi="Arial Narrow"/>
                <w:i/>
              </w:rPr>
            </w:pPr>
            <w:r w:rsidRPr="00EE23D0">
              <w:rPr>
                <w:rFonts w:ascii="Arial Narrow" w:hAnsi="Arial Narrow"/>
                <w:i/>
              </w:rPr>
              <w:t>Täpsustab hindamiskomisjon, juhul kui asjakohane</w:t>
            </w:r>
          </w:p>
        </w:tc>
      </w:tr>
      <w:tr w:rsidR="00DE69D6" w:rsidRPr="00EE23D0" w14:paraId="463A957F" w14:textId="77777777" w:rsidTr="00592287">
        <w:trPr>
          <w:trHeight w:val="577"/>
        </w:trPr>
        <w:tc>
          <w:tcPr>
            <w:tcW w:w="1271" w:type="dxa"/>
          </w:tcPr>
          <w:p w14:paraId="68CE0797" w14:textId="77777777" w:rsidR="00DE69D6" w:rsidRPr="00EE23D0" w:rsidRDefault="00DE69D6" w:rsidP="00592287">
            <w:pPr>
              <w:rPr>
                <w:rFonts w:ascii="Arial Narrow" w:hAnsi="Arial Narrow"/>
              </w:rPr>
            </w:pPr>
            <w:r w:rsidRPr="00EE23D0">
              <w:rPr>
                <w:rFonts w:ascii="Arial Narrow" w:hAnsi="Arial Narrow"/>
              </w:rPr>
              <w:t>Märkimis</w:t>
            </w:r>
            <w:r w:rsidRPr="00EE23D0">
              <w:rPr>
                <w:rFonts w:ascii="Arial Narrow" w:hAnsi="Arial Narrow"/>
              </w:rPr>
              <w:softHyphen/>
              <w:t>väärsed parendus</w:t>
            </w:r>
            <w:r w:rsidRPr="00EE23D0">
              <w:rPr>
                <w:rFonts w:ascii="Arial Narrow" w:hAnsi="Arial Narrow"/>
              </w:rPr>
              <w:softHyphen/>
              <w:t xml:space="preserve">vajadused  </w:t>
            </w:r>
          </w:p>
        </w:tc>
        <w:tc>
          <w:tcPr>
            <w:tcW w:w="4253" w:type="dxa"/>
          </w:tcPr>
          <w:p w14:paraId="4306167B" w14:textId="77777777" w:rsidR="00DE69D6" w:rsidRPr="00EE23D0" w:rsidRDefault="00DE69D6" w:rsidP="00592287">
            <w:pPr>
              <w:rPr>
                <w:rFonts w:ascii="Arial Narrow" w:hAnsi="Arial Narrow"/>
                <w:i/>
              </w:rPr>
            </w:pPr>
            <w:r w:rsidRPr="00EE23D0">
              <w:rPr>
                <w:rFonts w:ascii="Arial Narrow" w:hAnsi="Arial Narrow"/>
                <w:i/>
              </w:rPr>
              <w:t>Täpsustab hindamiskomisjon, juhul kui asjakohane</w:t>
            </w:r>
          </w:p>
        </w:tc>
        <w:tc>
          <w:tcPr>
            <w:tcW w:w="4536" w:type="dxa"/>
          </w:tcPr>
          <w:p w14:paraId="5B99325E" w14:textId="77777777" w:rsidR="00DE69D6" w:rsidRPr="00EE23D0" w:rsidRDefault="00DE69D6" w:rsidP="00592287">
            <w:pPr>
              <w:rPr>
                <w:rFonts w:ascii="Arial Narrow" w:hAnsi="Arial Narrow"/>
                <w:i/>
              </w:rPr>
            </w:pPr>
            <w:r w:rsidRPr="00EE23D0">
              <w:rPr>
                <w:rFonts w:ascii="Arial Narrow" w:hAnsi="Arial Narrow"/>
                <w:i/>
              </w:rPr>
              <w:t>Täpsustab hindamiskomisjon, juhul kui asjakohane</w:t>
            </w:r>
          </w:p>
        </w:tc>
        <w:tc>
          <w:tcPr>
            <w:tcW w:w="4394" w:type="dxa"/>
          </w:tcPr>
          <w:p w14:paraId="1F2E1724" w14:textId="77777777" w:rsidR="00DE69D6" w:rsidRPr="00EE23D0" w:rsidRDefault="00DE69D6" w:rsidP="00592287">
            <w:pPr>
              <w:rPr>
                <w:rFonts w:ascii="Arial Narrow" w:hAnsi="Arial Narrow"/>
                <w:i/>
              </w:rPr>
            </w:pPr>
            <w:r w:rsidRPr="00EE23D0">
              <w:rPr>
                <w:rFonts w:ascii="Arial Narrow" w:hAnsi="Arial Narrow"/>
                <w:i/>
              </w:rPr>
              <w:t>Täpsustab hindamiskomisjon, juhul kui asjakohane</w:t>
            </w:r>
          </w:p>
        </w:tc>
      </w:tr>
    </w:tbl>
    <w:p w14:paraId="508605AC" w14:textId="77777777" w:rsidR="00DE69D6" w:rsidRPr="00EE23D0" w:rsidRDefault="00DE69D6" w:rsidP="00DE69D6">
      <w:pPr>
        <w:rPr>
          <w:rFonts w:ascii="Arial Narrow" w:hAnsi="Arial Narrow"/>
          <w:b/>
        </w:rPr>
      </w:pPr>
    </w:p>
    <w:p w14:paraId="49BA192B" w14:textId="77777777" w:rsidR="00DE69D6" w:rsidRPr="00EE23D0" w:rsidRDefault="00DE69D6" w:rsidP="00DE69D6">
      <w:pPr>
        <w:rPr>
          <w:rFonts w:ascii="Arial Narrow" w:hAnsi="Arial Narrow"/>
        </w:rPr>
      </w:pPr>
    </w:p>
    <w:p w14:paraId="56A034B2" w14:textId="77777777" w:rsidR="00F151F6" w:rsidRDefault="00F151F6">
      <w:pPr>
        <w:rPr>
          <w:rFonts w:ascii="Arial Narrow" w:hAnsi="Arial Narrow"/>
          <w:b/>
        </w:rPr>
        <w:sectPr w:rsidR="00F151F6" w:rsidSect="00DE69D6">
          <w:pgSz w:w="16838" w:h="11906" w:orient="landscape"/>
          <w:pgMar w:top="1418" w:right="1418" w:bottom="1418" w:left="1418" w:header="709" w:footer="709" w:gutter="0"/>
          <w:cols w:space="708"/>
          <w:docGrid w:linePitch="360"/>
        </w:sectPr>
      </w:pPr>
    </w:p>
    <w:p w14:paraId="60EEA4C0" w14:textId="62B70503" w:rsidR="0017377B" w:rsidRPr="00B11316" w:rsidRDefault="0017377B" w:rsidP="00B11316">
      <w:pPr>
        <w:pStyle w:val="Loendilik"/>
        <w:numPr>
          <w:ilvl w:val="0"/>
          <w:numId w:val="32"/>
        </w:numPr>
        <w:jc w:val="both"/>
        <w:rPr>
          <w:rFonts w:ascii="Arial Narrow" w:hAnsi="Arial Narrow"/>
          <w:b/>
        </w:rPr>
      </w:pPr>
      <w:r w:rsidRPr="00B11316">
        <w:rPr>
          <w:rFonts w:ascii="Arial Narrow" w:hAnsi="Arial Narrow"/>
          <w:b/>
        </w:rPr>
        <w:lastRenderedPageBreak/>
        <w:t>Koondhinnang</w:t>
      </w:r>
    </w:p>
    <w:p w14:paraId="1F0780D2" w14:textId="7A55B1AF" w:rsidR="009B4557" w:rsidRPr="00EE23D0" w:rsidRDefault="00C52632" w:rsidP="009B4557">
      <w:pPr>
        <w:jc w:val="both"/>
        <w:rPr>
          <w:rFonts w:ascii="Arial Narrow" w:hAnsi="Arial Narrow"/>
        </w:rPr>
      </w:pPr>
      <w:r>
        <w:rPr>
          <w:rFonts w:ascii="Arial Narrow" w:hAnsi="Arial Narrow"/>
        </w:rPr>
        <w:t xml:space="preserve">9.1 </w:t>
      </w:r>
      <w:r w:rsidR="007A6237">
        <w:rPr>
          <w:rFonts w:ascii="Arial Narrow" w:hAnsi="Arial Narrow"/>
        </w:rPr>
        <w:t xml:space="preserve">Kriteeriumide lõikes antud hinnangute alusel kujundab komisjon koondhinnangu. </w:t>
      </w:r>
      <w:r w:rsidR="005F70D9">
        <w:rPr>
          <w:rFonts w:ascii="Arial Narrow" w:hAnsi="Arial Narrow"/>
        </w:rPr>
        <w:t xml:space="preserve">Koondhinnang antakse </w:t>
      </w:r>
      <w:proofErr w:type="spellStart"/>
      <w:r w:rsidR="00851CC6" w:rsidRPr="00EE23D0">
        <w:rPr>
          <w:rFonts w:ascii="Arial Narrow" w:hAnsi="Arial Narrow"/>
        </w:rPr>
        <w:t>evalveeritava</w:t>
      </w:r>
      <w:proofErr w:type="spellEnd"/>
      <w:r w:rsidR="00851CC6" w:rsidRPr="00EE23D0">
        <w:rPr>
          <w:rFonts w:ascii="Arial Narrow" w:hAnsi="Arial Narrow"/>
        </w:rPr>
        <w:t xml:space="preserve"> valdkonna kohta vastavas asutuse</w:t>
      </w:r>
      <w:r w:rsidR="002747CC" w:rsidRPr="00EE23D0">
        <w:rPr>
          <w:rFonts w:ascii="Arial Narrow" w:hAnsi="Arial Narrow"/>
        </w:rPr>
        <w:t xml:space="preserve">s </w:t>
      </w:r>
      <w:r w:rsidR="00DB0606" w:rsidRPr="00EE23D0">
        <w:rPr>
          <w:rFonts w:ascii="Arial Narrow" w:hAnsi="Arial Narrow"/>
        </w:rPr>
        <w:t>mitte</w:t>
      </w:r>
      <w:r w:rsidR="002747CC" w:rsidRPr="00EE23D0">
        <w:rPr>
          <w:rFonts w:ascii="Arial Narrow" w:hAnsi="Arial Narrow"/>
        </w:rPr>
        <w:t>eristaval hindamisskaalal</w:t>
      </w:r>
      <w:r w:rsidR="00DB0606" w:rsidRPr="00EE23D0">
        <w:rPr>
          <w:rFonts w:ascii="Arial Narrow" w:hAnsi="Arial Narrow"/>
        </w:rPr>
        <w:t>.</w:t>
      </w:r>
    </w:p>
    <w:p w14:paraId="18382658" w14:textId="448E7432" w:rsidR="009B4557" w:rsidRPr="00EE23D0" w:rsidRDefault="00C52632" w:rsidP="009B4557">
      <w:pPr>
        <w:jc w:val="both"/>
        <w:rPr>
          <w:rFonts w:ascii="Arial Narrow" w:hAnsi="Arial Narrow"/>
        </w:rPr>
      </w:pPr>
      <w:r>
        <w:rPr>
          <w:rFonts w:ascii="Arial Narrow" w:hAnsi="Arial Narrow"/>
        </w:rPr>
        <w:t xml:space="preserve">9.2 </w:t>
      </w:r>
      <w:r w:rsidR="009B4557" w:rsidRPr="00EE23D0">
        <w:rPr>
          <w:rFonts w:ascii="Arial Narrow" w:hAnsi="Arial Narrow"/>
        </w:rPr>
        <w:t xml:space="preserve">Koondhinnangus märgitakse vajadusel ära </w:t>
      </w:r>
      <w:proofErr w:type="spellStart"/>
      <w:r w:rsidR="007A6237">
        <w:rPr>
          <w:rFonts w:ascii="Arial Narrow" w:hAnsi="Arial Narrow"/>
        </w:rPr>
        <w:t>evalveeritava</w:t>
      </w:r>
      <w:proofErr w:type="spellEnd"/>
      <w:r w:rsidR="007A6237">
        <w:rPr>
          <w:rFonts w:ascii="Arial Narrow" w:hAnsi="Arial Narrow"/>
        </w:rPr>
        <w:t xml:space="preserve"> valdkonna </w:t>
      </w:r>
      <w:r w:rsidR="009B4557" w:rsidRPr="00EE23D0">
        <w:rPr>
          <w:rFonts w:ascii="Arial Narrow" w:hAnsi="Arial Narrow"/>
        </w:rPr>
        <w:t>alamvaldkonnad</w:t>
      </w:r>
      <w:r w:rsidR="00950DFC" w:rsidRPr="00EE23D0">
        <w:rPr>
          <w:rStyle w:val="Allmrkuseviide"/>
          <w:rFonts w:ascii="Arial Narrow" w:hAnsi="Arial Narrow"/>
        </w:rPr>
        <w:footnoteReference w:id="5"/>
      </w:r>
      <w:r w:rsidR="00C94429" w:rsidRPr="00EE23D0">
        <w:rPr>
          <w:rFonts w:ascii="Arial Narrow" w:hAnsi="Arial Narrow"/>
        </w:rPr>
        <w:t>,</w:t>
      </w:r>
      <w:r w:rsidR="0073249C" w:rsidRPr="00EE23D0">
        <w:rPr>
          <w:rFonts w:ascii="Arial Narrow" w:hAnsi="Arial Narrow"/>
        </w:rPr>
        <w:t xml:space="preserve"> hindamiskriteeriumid</w:t>
      </w:r>
      <w:r w:rsidR="00C94429" w:rsidRPr="00EE23D0">
        <w:rPr>
          <w:rFonts w:ascii="Arial Narrow" w:hAnsi="Arial Narrow"/>
        </w:rPr>
        <w:t xml:space="preserve"> ja/või struktuuriüksused</w:t>
      </w:r>
      <w:r w:rsidR="009B4557" w:rsidRPr="00EE23D0">
        <w:rPr>
          <w:rFonts w:ascii="Arial Narrow" w:hAnsi="Arial Narrow"/>
        </w:rPr>
        <w:t xml:space="preserve">, milles komisjoni hinnangul ilmnes märkimisväärseid puudujääke. </w:t>
      </w:r>
    </w:p>
    <w:p w14:paraId="3D23BC9C" w14:textId="280C721D" w:rsidR="009B4557" w:rsidRDefault="00C52632" w:rsidP="009B4557">
      <w:pPr>
        <w:jc w:val="both"/>
        <w:rPr>
          <w:rFonts w:ascii="Arial Narrow" w:hAnsi="Arial Narrow"/>
        </w:rPr>
      </w:pPr>
      <w:r>
        <w:rPr>
          <w:rFonts w:ascii="Arial Narrow" w:hAnsi="Arial Narrow"/>
        </w:rPr>
        <w:t xml:space="preserve">9.3 </w:t>
      </w:r>
      <w:r w:rsidR="007A6674" w:rsidRPr="00EE23D0">
        <w:rPr>
          <w:rFonts w:ascii="Arial Narrow" w:hAnsi="Arial Narrow"/>
        </w:rPr>
        <w:t>Koondhinnangus võib ära märkida alamvaldkonnad</w:t>
      </w:r>
      <w:r w:rsidR="00C94429" w:rsidRPr="00EE23D0">
        <w:rPr>
          <w:rFonts w:ascii="Arial Narrow" w:hAnsi="Arial Narrow"/>
        </w:rPr>
        <w:t>, hindamiskriteeriumid ja/või struktuuriüksused</w:t>
      </w:r>
      <w:r w:rsidR="009B4557" w:rsidRPr="00EE23D0">
        <w:rPr>
          <w:rFonts w:ascii="Arial Narrow" w:hAnsi="Arial Narrow"/>
        </w:rPr>
        <w:t>, mis komisjoni hinnangul olid silmapaistvalt hea</w:t>
      </w:r>
      <w:r w:rsidR="00950DFC" w:rsidRPr="00EE23D0">
        <w:rPr>
          <w:rFonts w:ascii="Arial Narrow" w:hAnsi="Arial Narrow"/>
        </w:rPr>
        <w:t>l tasemel</w:t>
      </w:r>
      <w:r w:rsidR="0073249C" w:rsidRPr="00EE23D0">
        <w:rPr>
          <w:rFonts w:ascii="Arial Narrow" w:hAnsi="Arial Narrow"/>
        </w:rPr>
        <w:t>.</w:t>
      </w:r>
      <w:r w:rsidR="00950DFC" w:rsidRPr="00EE23D0">
        <w:rPr>
          <w:rFonts w:ascii="Arial Narrow" w:hAnsi="Arial Narrow"/>
        </w:rPr>
        <w:t xml:space="preserve"> </w:t>
      </w:r>
    </w:p>
    <w:p w14:paraId="6862C5D0" w14:textId="0082951C" w:rsidR="00B4486A" w:rsidRPr="00EE23D0" w:rsidRDefault="00C52632" w:rsidP="00B4486A">
      <w:pPr>
        <w:rPr>
          <w:rFonts w:ascii="Arial Narrow" w:hAnsi="Arial Narrow"/>
        </w:rPr>
      </w:pPr>
      <w:r>
        <w:rPr>
          <w:rFonts w:ascii="Arial Narrow" w:hAnsi="Arial Narrow"/>
        </w:rPr>
        <w:t xml:space="preserve">9.4 </w:t>
      </w:r>
      <w:r w:rsidR="007A6237" w:rsidRPr="00B4486A">
        <w:rPr>
          <w:rFonts w:ascii="Arial Narrow" w:hAnsi="Arial Narrow"/>
        </w:rPr>
        <w:t xml:space="preserve">Kui vähemalt üks kriteeriumidest on hinnatud mitterahuldavaks, on </w:t>
      </w:r>
      <w:proofErr w:type="spellStart"/>
      <w:r w:rsidR="007A6237" w:rsidRPr="00B4486A">
        <w:rPr>
          <w:rFonts w:ascii="Arial Narrow" w:hAnsi="Arial Narrow"/>
        </w:rPr>
        <w:t>e</w:t>
      </w:r>
      <w:r w:rsidR="00B4486A">
        <w:rPr>
          <w:rFonts w:ascii="Arial Narrow" w:hAnsi="Arial Narrow"/>
        </w:rPr>
        <w:t>valveerimisettepanek</w:t>
      </w:r>
      <w:proofErr w:type="spellEnd"/>
      <w:r w:rsidR="00B4486A">
        <w:rPr>
          <w:rFonts w:ascii="Arial Narrow" w:hAnsi="Arial Narrow"/>
        </w:rPr>
        <w:t xml:space="preserve"> negatiivne</w:t>
      </w:r>
      <w:r w:rsidR="00B4486A" w:rsidRPr="00B4486A">
        <w:rPr>
          <w:rFonts w:ascii="Arial Narrow" w:hAnsi="Arial Narrow"/>
        </w:rPr>
        <w:t>.</w:t>
      </w:r>
    </w:p>
    <w:p w14:paraId="7F068A01" w14:textId="2C9F0D18" w:rsidR="00851CC6" w:rsidRPr="00EE23D0" w:rsidRDefault="00C52632" w:rsidP="00A428F1">
      <w:pPr>
        <w:jc w:val="both"/>
        <w:rPr>
          <w:rFonts w:ascii="Arial Narrow" w:hAnsi="Arial Narrow"/>
        </w:rPr>
      </w:pPr>
      <w:r>
        <w:rPr>
          <w:rFonts w:ascii="Arial Narrow" w:hAnsi="Arial Narrow"/>
        </w:rPr>
        <w:t xml:space="preserve">9.5 </w:t>
      </w:r>
      <w:r w:rsidR="009B4557" w:rsidRPr="00EE23D0">
        <w:rPr>
          <w:rFonts w:ascii="Arial Narrow" w:hAnsi="Arial Narrow"/>
        </w:rPr>
        <w:t>Koondhinnangus teeb hindamiskomisjon haridus- ja teadusministrile järgmise ettepaneku:</w:t>
      </w:r>
    </w:p>
    <w:p w14:paraId="4819FB68" w14:textId="3AAB4253" w:rsidR="00854E33" w:rsidRDefault="00851CC6" w:rsidP="00854E33">
      <w:pPr>
        <w:pStyle w:val="Loendilik"/>
        <w:numPr>
          <w:ilvl w:val="0"/>
          <w:numId w:val="19"/>
        </w:numPr>
        <w:jc w:val="both"/>
        <w:rPr>
          <w:rFonts w:ascii="Arial Narrow" w:hAnsi="Arial Narrow"/>
        </w:rPr>
      </w:pPr>
      <w:proofErr w:type="spellStart"/>
      <w:r w:rsidRPr="00854E33">
        <w:rPr>
          <w:rFonts w:ascii="Arial Narrow" w:hAnsi="Arial Narrow"/>
        </w:rPr>
        <w:t>evalveerida</w:t>
      </w:r>
      <w:proofErr w:type="spellEnd"/>
      <w:r w:rsidRPr="00854E33">
        <w:rPr>
          <w:rFonts w:ascii="Arial Narrow" w:hAnsi="Arial Narrow"/>
        </w:rPr>
        <w:t xml:space="preserve"> asutuse teadus- ja arendustegevus vastavas valdkonnas positiivselt;</w:t>
      </w:r>
      <w:r w:rsidR="00854E33">
        <w:rPr>
          <w:rFonts w:ascii="Arial Narrow" w:hAnsi="Arial Narrow"/>
        </w:rPr>
        <w:t xml:space="preserve"> või</w:t>
      </w:r>
    </w:p>
    <w:p w14:paraId="6A214285" w14:textId="27CE915C" w:rsidR="00851CC6" w:rsidRPr="00854E33" w:rsidRDefault="005F3C4D" w:rsidP="00854E33">
      <w:pPr>
        <w:pStyle w:val="Loendilik"/>
        <w:numPr>
          <w:ilvl w:val="0"/>
          <w:numId w:val="19"/>
        </w:numPr>
        <w:jc w:val="both"/>
        <w:rPr>
          <w:rFonts w:ascii="Arial Narrow" w:hAnsi="Arial Narrow"/>
        </w:rPr>
      </w:pPr>
      <w:proofErr w:type="spellStart"/>
      <w:r w:rsidRPr="00854E33">
        <w:rPr>
          <w:rFonts w:ascii="Arial Narrow" w:hAnsi="Arial Narrow"/>
        </w:rPr>
        <w:t>evalveerida</w:t>
      </w:r>
      <w:proofErr w:type="spellEnd"/>
      <w:r w:rsidRPr="00854E33">
        <w:rPr>
          <w:rFonts w:ascii="Arial Narrow" w:hAnsi="Arial Narrow"/>
        </w:rPr>
        <w:t xml:space="preserve"> asutuse teadus- ja arendustegevus vastavas valdkonnas </w:t>
      </w:r>
      <w:r w:rsidR="009B4557" w:rsidRPr="00854E33">
        <w:rPr>
          <w:rFonts w:ascii="Arial Narrow" w:hAnsi="Arial Narrow"/>
        </w:rPr>
        <w:t>negatiivselt.</w:t>
      </w:r>
    </w:p>
    <w:p w14:paraId="660EC93B" w14:textId="234E2348" w:rsidR="00950DFC" w:rsidRPr="00EE23D0" w:rsidRDefault="0076598A" w:rsidP="00950DFC">
      <w:pPr>
        <w:jc w:val="both"/>
        <w:rPr>
          <w:rFonts w:ascii="Arial Narrow" w:hAnsi="Arial Narrow"/>
        </w:rPr>
      </w:pPr>
      <w:r>
        <w:rPr>
          <w:rFonts w:ascii="Arial Narrow" w:hAnsi="Arial Narrow"/>
        </w:rPr>
        <w:t xml:space="preserve">Komisjon peab ettepanekut põhjendama. </w:t>
      </w:r>
    </w:p>
    <w:p w14:paraId="07AC3589" w14:textId="77777777" w:rsidR="0076598A" w:rsidRDefault="0076598A" w:rsidP="001B1FC4">
      <w:pPr>
        <w:jc w:val="both"/>
        <w:rPr>
          <w:rFonts w:ascii="Arial Narrow" w:hAnsi="Arial Narrow"/>
          <w:b/>
        </w:rPr>
      </w:pPr>
    </w:p>
    <w:p w14:paraId="0E98CE32" w14:textId="2183D608" w:rsidR="00950DFC" w:rsidRPr="00B11316" w:rsidRDefault="00950DFC" w:rsidP="00B11316">
      <w:pPr>
        <w:pStyle w:val="Loendilik"/>
        <w:numPr>
          <w:ilvl w:val="0"/>
          <w:numId w:val="32"/>
        </w:numPr>
        <w:jc w:val="both"/>
        <w:rPr>
          <w:rFonts w:ascii="Arial Narrow" w:hAnsi="Arial Narrow"/>
          <w:b/>
        </w:rPr>
      </w:pPr>
      <w:proofErr w:type="spellStart"/>
      <w:r w:rsidRPr="00B11316">
        <w:rPr>
          <w:rFonts w:ascii="Arial Narrow" w:hAnsi="Arial Narrow"/>
          <w:b/>
        </w:rPr>
        <w:t>Evalveerimisotsus</w:t>
      </w:r>
      <w:proofErr w:type="spellEnd"/>
    </w:p>
    <w:p w14:paraId="50BC54DA" w14:textId="6CC614DA" w:rsidR="00950DFC" w:rsidRPr="00EE23D0" w:rsidRDefault="00C52632" w:rsidP="001B1FC4">
      <w:pPr>
        <w:jc w:val="both"/>
        <w:rPr>
          <w:rFonts w:ascii="Arial Narrow" w:hAnsi="Arial Narrow"/>
        </w:rPr>
      </w:pPr>
      <w:r>
        <w:rPr>
          <w:rFonts w:ascii="Arial Narrow" w:hAnsi="Arial Narrow" w:cs="Times New Roman"/>
        </w:rPr>
        <w:t xml:space="preserve">10.1 </w:t>
      </w:r>
      <w:r w:rsidR="00950DFC" w:rsidRPr="00EE23D0">
        <w:rPr>
          <w:rFonts w:ascii="Arial Narrow" w:hAnsi="Arial Narrow" w:cs="Times New Roman"/>
        </w:rPr>
        <w:t xml:space="preserve">Haridus- ja teadusminister kinnitab komisjoni </w:t>
      </w:r>
      <w:proofErr w:type="spellStart"/>
      <w:r w:rsidR="00950DFC" w:rsidRPr="00EE23D0">
        <w:rPr>
          <w:rFonts w:ascii="Arial Narrow" w:hAnsi="Arial Narrow" w:cs="Times New Roman"/>
        </w:rPr>
        <w:t>evalveerimisraportis</w:t>
      </w:r>
      <w:proofErr w:type="spellEnd"/>
      <w:r w:rsidR="00950DFC" w:rsidRPr="00EE23D0">
        <w:rPr>
          <w:rFonts w:ascii="Arial Narrow" w:hAnsi="Arial Narrow" w:cs="Times New Roman"/>
        </w:rPr>
        <w:t xml:space="preserve"> põhjendatud ettepaneku alusel käskkirjaga </w:t>
      </w:r>
      <w:r w:rsidR="00B11316">
        <w:rPr>
          <w:rFonts w:ascii="Arial Narrow" w:hAnsi="Arial Narrow" w:cs="Times New Roman"/>
        </w:rPr>
        <w:t xml:space="preserve">korralise </w:t>
      </w:r>
      <w:proofErr w:type="spellStart"/>
      <w:r w:rsidR="00B11316">
        <w:rPr>
          <w:rFonts w:ascii="Arial Narrow" w:hAnsi="Arial Narrow" w:cs="Times New Roman"/>
        </w:rPr>
        <w:t>evalveerimise</w:t>
      </w:r>
      <w:proofErr w:type="spellEnd"/>
      <w:r w:rsidR="007A6237">
        <w:rPr>
          <w:rFonts w:ascii="Arial Narrow" w:hAnsi="Arial Narrow" w:cs="Times New Roman"/>
        </w:rPr>
        <w:t xml:space="preserve"> </w:t>
      </w:r>
      <w:r w:rsidR="00950DFC" w:rsidRPr="00EE23D0">
        <w:rPr>
          <w:rFonts w:ascii="Arial Narrow" w:hAnsi="Arial Narrow" w:cs="Times New Roman"/>
        </w:rPr>
        <w:t xml:space="preserve"> otsuse </w:t>
      </w:r>
      <w:proofErr w:type="spellStart"/>
      <w:r w:rsidR="00950DFC" w:rsidRPr="00EE23D0">
        <w:rPr>
          <w:rFonts w:ascii="Arial Narrow" w:hAnsi="Arial Narrow" w:cs="Times New Roman"/>
        </w:rPr>
        <w:t>evalveerida</w:t>
      </w:r>
      <w:proofErr w:type="spellEnd"/>
      <w:r w:rsidR="00950DFC" w:rsidRPr="00EE23D0">
        <w:rPr>
          <w:rFonts w:ascii="Arial Narrow" w:hAnsi="Arial Narrow" w:cs="Times New Roman"/>
        </w:rPr>
        <w:t xml:space="preserve"> asutuse TA vastavas valdkonnas positiivselt või negatiivselt.</w:t>
      </w:r>
    </w:p>
    <w:p w14:paraId="3F21B045" w14:textId="061AF150" w:rsidR="001B1FC4" w:rsidRPr="00EE23D0" w:rsidRDefault="00C52632" w:rsidP="001B1FC4">
      <w:pPr>
        <w:jc w:val="both"/>
        <w:rPr>
          <w:rFonts w:ascii="Arial Narrow" w:hAnsi="Arial Narrow"/>
        </w:rPr>
      </w:pPr>
      <w:r>
        <w:rPr>
          <w:rFonts w:ascii="Arial Narrow" w:hAnsi="Arial Narrow"/>
        </w:rPr>
        <w:t xml:space="preserve">10.2 </w:t>
      </w:r>
      <w:r w:rsidR="001B1FC4" w:rsidRPr="00EE23D0">
        <w:rPr>
          <w:rFonts w:ascii="Arial Narrow" w:hAnsi="Arial Narrow"/>
        </w:rPr>
        <w:t xml:space="preserve">Negatiivse </w:t>
      </w:r>
      <w:proofErr w:type="spellStart"/>
      <w:r w:rsidR="001B1FC4" w:rsidRPr="00EE23D0">
        <w:rPr>
          <w:rFonts w:ascii="Arial Narrow" w:hAnsi="Arial Narrow"/>
        </w:rPr>
        <w:t>evalveerimisotsuse</w:t>
      </w:r>
      <w:proofErr w:type="spellEnd"/>
      <w:r w:rsidR="001B1FC4" w:rsidRPr="00EE23D0">
        <w:rPr>
          <w:rFonts w:ascii="Arial Narrow" w:hAnsi="Arial Narrow"/>
        </w:rPr>
        <w:t xml:space="preserve"> saanud asutustel on kehtiva </w:t>
      </w:r>
      <w:proofErr w:type="spellStart"/>
      <w:r w:rsidR="001B1FC4" w:rsidRPr="00EE23D0">
        <w:rPr>
          <w:rFonts w:ascii="Arial Narrow" w:hAnsi="Arial Narrow"/>
        </w:rPr>
        <w:t>TAKS-i</w:t>
      </w:r>
      <w:proofErr w:type="spellEnd"/>
      <w:r w:rsidR="001B1FC4" w:rsidRPr="00EE23D0">
        <w:rPr>
          <w:rFonts w:ascii="Arial Narrow" w:hAnsi="Arial Narrow"/>
        </w:rPr>
        <w:t xml:space="preserve"> järgi võimalus puudused parandada ning taotleda tasulist kordusevalveerimist.</w:t>
      </w:r>
    </w:p>
    <w:p w14:paraId="6B198BAA" w14:textId="77777777" w:rsidR="00C94429" w:rsidRPr="00EE23D0" w:rsidRDefault="00C94429" w:rsidP="00A428F1">
      <w:pPr>
        <w:jc w:val="both"/>
        <w:rPr>
          <w:rFonts w:ascii="Arial Narrow" w:hAnsi="Arial Narrow"/>
          <w:b/>
        </w:rPr>
      </w:pPr>
    </w:p>
    <w:p w14:paraId="69F6C9B0" w14:textId="7C00CCBF" w:rsidR="00213CFA" w:rsidRPr="00B11316" w:rsidRDefault="00E90B56" w:rsidP="00B11316">
      <w:pPr>
        <w:pStyle w:val="Loendilik"/>
        <w:numPr>
          <w:ilvl w:val="0"/>
          <w:numId w:val="32"/>
        </w:numPr>
        <w:jc w:val="both"/>
        <w:rPr>
          <w:rFonts w:ascii="Arial Narrow" w:hAnsi="Arial Narrow"/>
          <w:b/>
        </w:rPr>
      </w:pPr>
      <w:r w:rsidRPr="00B11316">
        <w:rPr>
          <w:rFonts w:ascii="Arial Narrow" w:hAnsi="Arial Narrow"/>
          <w:b/>
        </w:rPr>
        <w:t>Jätkutegevused</w:t>
      </w:r>
    </w:p>
    <w:p w14:paraId="56A05DD5" w14:textId="61773944" w:rsidR="00A2121B" w:rsidRPr="00EE23D0" w:rsidRDefault="00AE6DCD" w:rsidP="00A428F1">
      <w:pPr>
        <w:jc w:val="both"/>
        <w:rPr>
          <w:rFonts w:ascii="Arial Narrow" w:hAnsi="Arial Narrow"/>
        </w:rPr>
      </w:pPr>
      <w:proofErr w:type="spellStart"/>
      <w:r w:rsidRPr="00EE23D0">
        <w:rPr>
          <w:rFonts w:ascii="Arial Narrow" w:hAnsi="Arial Narrow"/>
        </w:rPr>
        <w:t>ETAg</w:t>
      </w:r>
      <w:proofErr w:type="spellEnd"/>
      <w:r w:rsidRPr="00EE23D0">
        <w:rPr>
          <w:rFonts w:ascii="Arial Narrow" w:hAnsi="Arial Narrow"/>
        </w:rPr>
        <w:t xml:space="preserve"> küsib </w:t>
      </w:r>
      <w:r w:rsidR="00A67765" w:rsidRPr="00EE23D0">
        <w:rPr>
          <w:rFonts w:ascii="Arial Narrow" w:hAnsi="Arial Narrow"/>
        </w:rPr>
        <w:t>hinda</w:t>
      </w:r>
      <w:r w:rsidRPr="00EE23D0">
        <w:rPr>
          <w:rFonts w:ascii="Arial Narrow" w:hAnsi="Arial Narrow"/>
        </w:rPr>
        <w:t>misk</w:t>
      </w:r>
      <w:r w:rsidR="00A2121B" w:rsidRPr="00EE23D0">
        <w:rPr>
          <w:rFonts w:ascii="Arial Narrow" w:hAnsi="Arial Narrow"/>
        </w:rPr>
        <w:t>omisjonil</w:t>
      </w:r>
      <w:r w:rsidRPr="00EE23D0">
        <w:rPr>
          <w:rFonts w:ascii="Arial Narrow" w:hAnsi="Arial Narrow"/>
        </w:rPr>
        <w:t xml:space="preserve">t </w:t>
      </w:r>
      <w:r w:rsidR="007A6237">
        <w:rPr>
          <w:rFonts w:ascii="Arial Narrow" w:hAnsi="Arial Narrow"/>
        </w:rPr>
        <w:t xml:space="preserve">ja asutuselt </w:t>
      </w:r>
      <w:r w:rsidR="00A2121B" w:rsidRPr="00EE23D0">
        <w:rPr>
          <w:rFonts w:ascii="Arial Narrow" w:hAnsi="Arial Narrow"/>
          <w:b/>
        </w:rPr>
        <w:t xml:space="preserve">tagasisidet </w:t>
      </w:r>
      <w:proofErr w:type="spellStart"/>
      <w:r w:rsidR="00A2121B" w:rsidRPr="00EE23D0">
        <w:rPr>
          <w:rFonts w:ascii="Arial Narrow" w:hAnsi="Arial Narrow"/>
        </w:rPr>
        <w:t>evalveerimise</w:t>
      </w:r>
      <w:proofErr w:type="spellEnd"/>
      <w:r w:rsidR="00A2121B" w:rsidRPr="00EE23D0">
        <w:rPr>
          <w:rFonts w:ascii="Arial Narrow" w:hAnsi="Arial Narrow"/>
        </w:rPr>
        <w:t xml:space="preserve"> protsessi kohta ning ettepanekuid </w:t>
      </w:r>
      <w:r w:rsidRPr="00EE23D0">
        <w:rPr>
          <w:rFonts w:ascii="Arial Narrow" w:hAnsi="Arial Narrow"/>
        </w:rPr>
        <w:t xml:space="preserve">(sh </w:t>
      </w:r>
      <w:r w:rsidR="00A2121B" w:rsidRPr="00EE23D0">
        <w:rPr>
          <w:rFonts w:ascii="Arial Narrow" w:hAnsi="Arial Narrow"/>
        </w:rPr>
        <w:t>riigi tasandil</w:t>
      </w:r>
      <w:r w:rsidRPr="00EE23D0">
        <w:rPr>
          <w:rFonts w:ascii="Arial Narrow" w:hAnsi="Arial Narrow"/>
        </w:rPr>
        <w:t>)</w:t>
      </w:r>
      <w:r w:rsidR="00A2121B" w:rsidRPr="00EE23D0">
        <w:rPr>
          <w:rFonts w:ascii="Arial Narrow" w:hAnsi="Arial Narrow"/>
        </w:rPr>
        <w:t xml:space="preserve"> TA</w:t>
      </w:r>
      <w:r w:rsidR="00891732">
        <w:rPr>
          <w:rFonts w:ascii="Arial Narrow" w:hAnsi="Arial Narrow"/>
        </w:rPr>
        <w:t xml:space="preserve"> </w:t>
      </w:r>
      <w:r w:rsidR="00A2121B" w:rsidRPr="00EE23D0">
        <w:rPr>
          <w:rFonts w:ascii="Arial Narrow" w:hAnsi="Arial Narrow"/>
        </w:rPr>
        <w:t xml:space="preserve">küsimustes (nt kas riigisiseselt on </w:t>
      </w:r>
      <w:r w:rsidRPr="00EE23D0">
        <w:rPr>
          <w:rFonts w:ascii="Arial Narrow" w:hAnsi="Arial Narrow"/>
        </w:rPr>
        <w:t>otstarbekas</w:t>
      </w:r>
      <w:r w:rsidR="00A2121B" w:rsidRPr="00EE23D0">
        <w:rPr>
          <w:rFonts w:ascii="Arial Narrow" w:hAnsi="Arial Narrow"/>
        </w:rPr>
        <w:t xml:space="preserve"> mitmes kohas sama valdkonnaga tegeleda, kas teaduspoliitiline fookus võiks olla mingis aspektis selgem jms).</w:t>
      </w:r>
    </w:p>
    <w:p w14:paraId="53272575" w14:textId="77777777" w:rsidR="00EE23D0" w:rsidRPr="00EE23D0" w:rsidRDefault="00EE23D0" w:rsidP="00A428F1">
      <w:pPr>
        <w:jc w:val="both"/>
        <w:rPr>
          <w:rFonts w:ascii="Arial Narrow" w:hAnsi="Arial Narrow"/>
          <w:b/>
        </w:rPr>
      </w:pPr>
    </w:p>
    <w:sectPr w:rsidR="00EE23D0" w:rsidRPr="00EE23D0" w:rsidSect="00F151F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B868F" w14:textId="77777777" w:rsidR="00E06B31" w:rsidRDefault="00E06B31" w:rsidP="00DE600A">
      <w:pPr>
        <w:spacing w:after="0" w:line="240" w:lineRule="auto"/>
      </w:pPr>
      <w:r>
        <w:separator/>
      </w:r>
    </w:p>
  </w:endnote>
  <w:endnote w:type="continuationSeparator" w:id="0">
    <w:p w14:paraId="5449CC4D" w14:textId="77777777" w:rsidR="00E06B31" w:rsidRDefault="00E06B31" w:rsidP="00DE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61E2" w14:textId="77777777" w:rsidR="00E06B31" w:rsidRDefault="00E06B31" w:rsidP="00DE600A">
      <w:pPr>
        <w:spacing w:after="0" w:line="240" w:lineRule="auto"/>
      </w:pPr>
      <w:r>
        <w:separator/>
      </w:r>
    </w:p>
  </w:footnote>
  <w:footnote w:type="continuationSeparator" w:id="0">
    <w:p w14:paraId="05CABFB7" w14:textId="77777777" w:rsidR="00E06B31" w:rsidRDefault="00E06B31" w:rsidP="00DE600A">
      <w:pPr>
        <w:spacing w:after="0" w:line="240" w:lineRule="auto"/>
      </w:pPr>
      <w:r>
        <w:continuationSeparator/>
      </w:r>
    </w:p>
  </w:footnote>
  <w:footnote w:id="1">
    <w:p w14:paraId="5A49080D" w14:textId="1867F9BC" w:rsidR="00C83896" w:rsidRPr="00950DFC" w:rsidRDefault="00C83896">
      <w:pPr>
        <w:pStyle w:val="Allmrkusetekst"/>
        <w:rPr>
          <w:rFonts w:ascii="Arial Narrow" w:hAnsi="Arial Narrow"/>
        </w:rPr>
      </w:pPr>
      <w:r w:rsidRPr="00950DFC">
        <w:rPr>
          <w:rStyle w:val="Allmrkuseviide"/>
          <w:rFonts w:ascii="Arial Narrow" w:hAnsi="Arial Narrow"/>
        </w:rPr>
        <w:footnoteRef/>
      </w:r>
      <w:r w:rsidRPr="00950DFC">
        <w:rPr>
          <w:rFonts w:ascii="Arial Narrow" w:hAnsi="Arial Narrow"/>
        </w:rPr>
        <w:t xml:space="preserve"> Korralisel </w:t>
      </w:r>
      <w:proofErr w:type="spellStart"/>
      <w:r w:rsidRPr="00950DFC">
        <w:rPr>
          <w:rFonts w:ascii="Arial Narrow" w:hAnsi="Arial Narrow"/>
        </w:rPr>
        <w:t>evalveerimisel</w:t>
      </w:r>
      <w:proofErr w:type="spellEnd"/>
      <w:r w:rsidRPr="00950DFC">
        <w:rPr>
          <w:rFonts w:ascii="Arial Narrow" w:hAnsi="Arial Narrow"/>
        </w:rPr>
        <w:t xml:space="preserve"> käsitletakse ülikoolidena ülikooliseaduse § 4 alusel ka Eesti Kunstiakadeemiat, Eesti Muusika- ja Teatriakadeemiat ning </w:t>
      </w:r>
      <w:r w:rsidRPr="00950DFC">
        <w:rPr>
          <w:rFonts w:ascii="Arial Narrow" w:hAnsi="Arial Narrow"/>
          <w:i/>
        </w:rPr>
        <w:t xml:space="preserve">Estonian </w:t>
      </w:r>
      <w:proofErr w:type="spellStart"/>
      <w:r w:rsidRPr="00950DFC">
        <w:rPr>
          <w:rFonts w:ascii="Arial Narrow" w:hAnsi="Arial Narrow"/>
          <w:i/>
        </w:rPr>
        <w:t>Business</w:t>
      </w:r>
      <w:proofErr w:type="spellEnd"/>
      <w:r w:rsidRPr="00950DFC">
        <w:rPr>
          <w:rFonts w:ascii="Arial Narrow" w:hAnsi="Arial Narrow"/>
          <w:i/>
        </w:rPr>
        <w:t xml:space="preserve"> </w:t>
      </w:r>
      <w:proofErr w:type="spellStart"/>
      <w:r w:rsidRPr="00950DFC">
        <w:rPr>
          <w:rFonts w:ascii="Arial Narrow" w:hAnsi="Arial Narrow"/>
          <w:i/>
        </w:rPr>
        <w:t>School</w:t>
      </w:r>
      <w:r w:rsidRPr="00950DFC">
        <w:rPr>
          <w:rFonts w:ascii="Arial Narrow" w:hAnsi="Arial Narrow"/>
        </w:rPr>
        <w:t>´i</w:t>
      </w:r>
      <w:proofErr w:type="spellEnd"/>
      <w:r w:rsidRPr="00950DFC">
        <w:rPr>
          <w:rFonts w:ascii="Arial Narrow" w:hAnsi="Arial Narrow"/>
        </w:rPr>
        <w:t>.</w:t>
      </w:r>
    </w:p>
  </w:footnote>
  <w:footnote w:id="2">
    <w:p w14:paraId="0FD3867F" w14:textId="557A342E" w:rsidR="00950DFC" w:rsidRPr="00950DFC" w:rsidRDefault="00950DFC">
      <w:pPr>
        <w:pStyle w:val="Allmrkusetekst"/>
        <w:rPr>
          <w:rFonts w:ascii="Arial Narrow" w:hAnsi="Arial Narrow"/>
        </w:rPr>
      </w:pPr>
      <w:r w:rsidRPr="00950DFC">
        <w:rPr>
          <w:rStyle w:val="Allmrkuseviide"/>
          <w:rFonts w:ascii="Arial Narrow" w:hAnsi="Arial Narrow"/>
        </w:rPr>
        <w:footnoteRef/>
      </w:r>
      <w:r w:rsidRPr="00950DFC">
        <w:rPr>
          <w:rFonts w:ascii="Arial Narrow" w:hAnsi="Arial Narrow"/>
        </w:rPr>
        <w:t xml:space="preserve"> </w:t>
      </w:r>
      <w:hyperlink r:id="rId1" w:history="1">
        <w:proofErr w:type="spellStart"/>
        <w:r w:rsidRPr="00EE23D0">
          <w:rPr>
            <w:rStyle w:val="Hperlink"/>
            <w:rFonts w:ascii="Arial Narrow" w:hAnsi="Arial Narrow"/>
          </w:rPr>
          <w:t>Frascati</w:t>
        </w:r>
        <w:proofErr w:type="spellEnd"/>
        <w:r w:rsidRPr="00EE23D0">
          <w:rPr>
            <w:rStyle w:val="Hperlink"/>
            <w:rFonts w:ascii="Arial Narrow" w:hAnsi="Arial Narrow"/>
          </w:rPr>
          <w:t xml:space="preserve"> valdk</w:t>
        </w:r>
        <w:r w:rsidR="00EE23D0" w:rsidRPr="00EE23D0">
          <w:rPr>
            <w:rStyle w:val="Hperlink"/>
            <w:rFonts w:ascii="Arial Narrow" w:hAnsi="Arial Narrow"/>
          </w:rPr>
          <w:t>ondade ja alamvaldkondade loend</w:t>
        </w:r>
      </w:hyperlink>
    </w:p>
  </w:footnote>
  <w:footnote w:id="3">
    <w:p w14:paraId="2BF70986" w14:textId="7274E5A5" w:rsidR="001264E8" w:rsidRPr="00EE23D0" w:rsidRDefault="001264E8">
      <w:pPr>
        <w:pStyle w:val="Allmrkusetekst"/>
        <w:rPr>
          <w:rFonts w:ascii="Arial Narrow" w:hAnsi="Arial Narrow"/>
        </w:rPr>
      </w:pPr>
      <w:r w:rsidRPr="00EE23D0">
        <w:rPr>
          <w:rStyle w:val="Allmrkuseviide"/>
          <w:rFonts w:ascii="Arial Narrow" w:hAnsi="Arial Narrow"/>
        </w:rPr>
        <w:footnoteRef/>
      </w:r>
      <w:r w:rsidRPr="00EE23D0">
        <w:rPr>
          <w:rFonts w:ascii="Arial Narrow" w:hAnsi="Arial Narrow"/>
        </w:rPr>
        <w:t xml:space="preserve"> Siduda tuleb nii hetkel kehtivasse struktuuri kuuluvad kui ka </w:t>
      </w:r>
      <w:proofErr w:type="spellStart"/>
      <w:r w:rsidRPr="00EE23D0">
        <w:rPr>
          <w:rFonts w:ascii="Arial Narrow" w:hAnsi="Arial Narrow"/>
        </w:rPr>
        <w:t>evalveerimise</w:t>
      </w:r>
      <w:proofErr w:type="spellEnd"/>
      <w:r w:rsidRPr="00EE23D0">
        <w:rPr>
          <w:rFonts w:ascii="Arial Narrow" w:hAnsi="Arial Narrow"/>
        </w:rPr>
        <w:t xml:space="preserve"> aluseks oleval andmete esitamise perioodil (2010-2015) tegutsenud üksused</w:t>
      </w:r>
      <w:r w:rsidR="00EE23D0">
        <w:rPr>
          <w:rFonts w:ascii="Arial Narrow" w:hAnsi="Arial Narrow"/>
        </w:rPr>
        <w:t>.</w:t>
      </w:r>
    </w:p>
  </w:footnote>
  <w:footnote w:id="4">
    <w:p w14:paraId="31049B69" w14:textId="56A9EF9E" w:rsidR="006C1551" w:rsidRPr="006C1551" w:rsidRDefault="006C1551">
      <w:pPr>
        <w:pStyle w:val="Allmrkusetekst"/>
        <w:rPr>
          <w:rFonts w:ascii="Arial Narrow" w:hAnsi="Arial Narrow"/>
        </w:rPr>
      </w:pPr>
      <w:r w:rsidRPr="006C1551">
        <w:rPr>
          <w:rStyle w:val="Allmrkuseviide"/>
          <w:rFonts w:ascii="Arial Narrow" w:hAnsi="Arial Narrow"/>
        </w:rPr>
        <w:footnoteRef/>
      </w:r>
      <w:r w:rsidRPr="006C1551">
        <w:rPr>
          <w:rFonts w:ascii="Arial Narrow" w:hAnsi="Arial Narrow"/>
        </w:rPr>
        <w:t xml:space="preserve"> </w:t>
      </w:r>
      <w:hyperlink r:id="rId2" w:history="1">
        <w:r w:rsidR="0057429E" w:rsidRPr="0057429E">
          <w:rPr>
            <w:rStyle w:val="Hperlink"/>
            <w:rFonts w:ascii="Arial Narrow" w:hAnsi="Arial Narrow"/>
          </w:rPr>
          <w:t xml:space="preserve">Korralise </w:t>
        </w:r>
        <w:proofErr w:type="spellStart"/>
        <w:r w:rsidR="0057429E" w:rsidRPr="0057429E">
          <w:rPr>
            <w:rStyle w:val="Hperlink"/>
            <w:rFonts w:ascii="Arial Narrow" w:hAnsi="Arial Narrow"/>
          </w:rPr>
          <w:t>evalveerimise</w:t>
        </w:r>
        <w:proofErr w:type="spellEnd"/>
        <w:r w:rsidR="0057429E" w:rsidRPr="0057429E">
          <w:rPr>
            <w:rStyle w:val="Hperlink"/>
            <w:rFonts w:ascii="Arial Narrow" w:hAnsi="Arial Narrow"/>
          </w:rPr>
          <w:t xml:space="preserve"> taotlusvorm</w:t>
        </w:r>
      </w:hyperlink>
    </w:p>
  </w:footnote>
  <w:footnote w:id="5">
    <w:p w14:paraId="4E99722F" w14:textId="62F459D5" w:rsidR="00950DFC" w:rsidRPr="00950DFC" w:rsidRDefault="00950DFC">
      <w:pPr>
        <w:pStyle w:val="Allmrkusetekst"/>
        <w:rPr>
          <w:rFonts w:ascii="Arial Narrow" w:hAnsi="Arial Narrow"/>
        </w:rPr>
      </w:pPr>
      <w:r w:rsidRPr="00950DFC">
        <w:rPr>
          <w:rStyle w:val="Allmrkuseviide"/>
          <w:rFonts w:ascii="Arial Narrow" w:hAnsi="Arial Narrow"/>
        </w:rPr>
        <w:footnoteRef/>
      </w:r>
      <w:r w:rsidRPr="00950DFC">
        <w:rPr>
          <w:rFonts w:ascii="Arial Narrow" w:hAnsi="Arial Narrow"/>
        </w:rPr>
        <w:t xml:space="preserve"> </w:t>
      </w:r>
      <w:hyperlink r:id="rId3" w:history="1">
        <w:proofErr w:type="spellStart"/>
        <w:r w:rsidRPr="00EE23D0">
          <w:rPr>
            <w:rStyle w:val="Hperlink"/>
            <w:rFonts w:ascii="Arial Narrow" w:hAnsi="Arial Narrow"/>
          </w:rPr>
          <w:t>Frascati</w:t>
        </w:r>
        <w:proofErr w:type="spellEnd"/>
        <w:r w:rsidRPr="00EE23D0">
          <w:rPr>
            <w:rStyle w:val="Hperlink"/>
            <w:rFonts w:ascii="Arial Narrow" w:hAnsi="Arial Narrow"/>
          </w:rPr>
          <w:t xml:space="preserve"> klassifikaatori valdk</w:t>
        </w:r>
        <w:r w:rsidR="00EE23D0" w:rsidRPr="00EE23D0">
          <w:rPr>
            <w:rStyle w:val="Hperlink"/>
            <w:rFonts w:ascii="Arial Narrow" w:hAnsi="Arial Narrow"/>
          </w:rPr>
          <w:t>ondade ja alamvaldkondade loend</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923DCC"/>
    <w:lvl w:ilvl="0">
      <w:numFmt w:val="decimal"/>
      <w:lvlText w:val="*"/>
      <w:lvlJc w:val="left"/>
    </w:lvl>
  </w:abstractNum>
  <w:abstractNum w:abstractNumId="1">
    <w:nsid w:val="03870DC7"/>
    <w:multiLevelType w:val="multilevel"/>
    <w:tmpl w:val="618CC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4F1504C"/>
    <w:multiLevelType w:val="multilevel"/>
    <w:tmpl w:val="55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A21B8"/>
    <w:multiLevelType w:val="hybridMultilevel"/>
    <w:tmpl w:val="EBEC4A58"/>
    <w:lvl w:ilvl="0" w:tplc="F9443634">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07A16426"/>
    <w:multiLevelType w:val="hybridMultilevel"/>
    <w:tmpl w:val="C64CE8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0A1D20AA"/>
    <w:multiLevelType w:val="hybridMultilevel"/>
    <w:tmpl w:val="C6343B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0DEB2EFC"/>
    <w:multiLevelType w:val="hybridMultilevel"/>
    <w:tmpl w:val="5FAE26DE"/>
    <w:lvl w:ilvl="0" w:tplc="1966B3E2">
      <w:start w:val="1"/>
      <w:numFmt w:val="decimal"/>
      <w:lvlText w:val="%1)"/>
      <w:lvlJc w:val="left"/>
      <w:pPr>
        <w:ind w:left="1068" w:hanging="360"/>
      </w:pPr>
      <w:rPr>
        <w:rFonts w:hint="default"/>
        <w:b/>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7">
    <w:nsid w:val="13AE3E05"/>
    <w:multiLevelType w:val="hybridMultilevel"/>
    <w:tmpl w:val="01A203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1FFD627B"/>
    <w:multiLevelType w:val="hybridMultilevel"/>
    <w:tmpl w:val="DC24F0B4"/>
    <w:lvl w:ilvl="0" w:tplc="E988C57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nsid w:val="210863FF"/>
    <w:multiLevelType w:val="hybridMultilevel"/>
    <w:tmpl w:val="89DAD33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257A768C"/>
    <w:multiLevelType w:val="hybridMultilevel"/>
    <w:tmpl w:val="1034DEC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26454EBC"/>
    <w:multiLevelType w:val="hybridMultilevel"/>
    <w:tmpl w:val="EC587C6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28241D48"/>
    <w:multiLevelType w:val="hybridMultilevel"/>
    <w:tmpl w:val="F42274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2C585C3E"/>
    <w:multiLevelType w:val="hybridMultilevel"/>
    <w:tmpl w:val="6FCC844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2D473D4C"/>
    <w:multiLevelType w:val="hybridMultilevel"/>
    <w:tmpl w:val="128A7AB6"/>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nsid w:val="3428181E"/>
    <w:multiLevelType w:val="hybridMultilevel"/>
    <w:tmpl w:val="99D275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nsid w:val="39867B48"/>
    <w:multiLevelType w:val="singleLevel"/>
    <w:tmpl w:val="AEE04D6C"/>
    <w:lvl w:ilvl="0">
      <w:start w:val="6"/>
      <w:numFmt w:val="decimal"/>
      <w:lvlText w:val="2.%1"/>
      <w:legacy w:legacy="1" w:legacySpace="0" w:legacyIndent="365"/>
      <w:lvlJc w:val="left"/>
      <w:rPr>
        <w:rFonts w:ascii="Arial" w:hAnsi="Arial" w:hint="default"/>
      </w:rPr>
    </w:lvl>
  </w:abstractNum>
  <w:abstractNum w:abstractNumId="17">
    <w:nsid w:val="3FC93DA2"/>
    <w:multiLevelType w:val="hybridMultilevel"/>
    <w:tmpl w:val="9A1498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4109283E"/>
    <w:multiLevelType w:val="hybridMultilevel"/>
    <w:tmpl w:val="7AE04938"/>
    <w:lvl w:ilvl="0" w:tplc="58F8B8F6">
      <w:start w:val="1"/>
      <w:numFmt w:val="decimal"/>
      <w:lvlText w:val="(%1)"/>
      <w:lvlJc w:val="left"/>
      <w:pPr>
        <w:ind w:left="360" w:hanging="360"/>
      </w:pPr>
      <w:rPr>
        <w:rFonts w:ascii="Times New Roman" w:eastAsia="Times New Roman" w:hAnsi="Times New Roman" w:hint="default"/>
        <w:spacing w:val="-14"/>
        <w:w w:val="99"/>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nsid w:val="42E91E02"/>
    <w:multiLevelType w:val="hybridMultilevel"/>
    <w:tmpl w:val="A5FAF5AE"/>
    <w:lvl w:ilvl="0" w:tplc="482AEB12">
      <w:start w:val="1"/>
      <w:numFmt w:val="decimal"/>
      <w:lvlText w:val="%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0">
    <w:nsid w:val="433E51AF"/>
    <w:multiLevelType w:val="multilevel"/>
    <w:tmpl w:val="71B491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73D3AB0"/>
    <w:multiLevelType w:val="hybridMultilevel"/>
    <w:tmpl w:val="32E033A4"/>
    <w:lvl w:ilvl="0" w:tplc="F790F30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48A34C62"/>
    <w:multiLevelType w:val="hybridMultilevel"/>
    <w:tmpl w:val="218E8E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4EFD7741"/>
    <w:multiLevelType w:val="hybridMultilevel"/>
    <w:tmpl w:val="0590E182"/>
    <w:lvl w:ilvl="0" w:tplc="38B024DA">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50824224"/>
    <w:multiLevelType w:val="hybridMultilevel"/>
    <w:tmpl w:val="1DEC32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5612429C"/>
    <w:multiLevelType w:val="hybridMultilevel"/>
    <w:tmpl w:val="A7BE97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57DB3CA7"/>
    <w:multiLevelType w:val="hybridMultilevel"/>
    <w:tmpl w:val="34E4797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58DA63ED"/>
    <w:multiLevelType w:val="hybridMultilevel"/>
    <w:tmpl w:val="D88AD3E2"/>
    <w:lvl w:ilvl="0" w:tplc="ABCC22E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nsid w:val="5A8B5CE1"/>
    <w:multiLevelType w:val="hybridMultilevel"/>
    <w:tmpl w:val="5CE09178"/>
    <w:lvl w:ilvl="0" w:tplc="04250001">
      <w:start w:val="1"/>
      <w:numFmt w:val="bullet"/>
      <w:lvlText w:val=""/>
      <w:lvlJc w:val="left"/>
      <w:pPr>
        <w:ind w:left="1068" w:hanging="360"/>
      </w:pPr>
      <w:rPr>
        <w:rFonts w:ascii="Symbol" w:hAnsi="Symbol"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9">
    <w:nsid w:val="5B6E58A4"/>
    <w:multiLevelType w:val="hybridMultilevel"/>
    <w:tmpl w:val="A8706E60"/>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0">
    <w:nsid w:val="5D9863CD"/>
    <w:multiLevelType w:val="hybridMultilevel"/>
    <w:tmpl w:val="DD023DA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nsid w:val="6A9A58D0"/>
    <w:multiLevelType w:val="multilevel"/>
    <w:tmpl w:val="C19E61E6"/>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0E66EDB"/>
    <w:multiLevelType w:val="hybridMultilevel"/>
    <w:tmpl w:val="E258EC0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352"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nsid w:val="76003E1E"/>
    <w:multiLevelType w:val="hybridMultilevel"/>
    <w:tmpl w:val="7EA889CE"/>
    <w:lvl w:ilvl="0" w:tplc="2374A250">
      <w:start w:val="1"/>
      <w:numFmt w:val="decimal"/>
      <w:lvlText w:val="(%1)"/>
      <w:lvlJc w:val="left"/>
      <w:pPr>
        <w:ind w:left="360" w:hanging="360"/>
      </w:pPr>
      <w:rPr>
        <w:rFonts w:ascii="Times New Roman" w:eastAsia="Times New Roman" w:hAnsi="Times New Roman" w:hint="default"/>
        <w:spacing w:val="-14"/>
        <w:w w:val="99"/>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nsid w:val="77D045CE"/>
    <w:multiLevelType w:val="hybridMultilevel"/>
    <w:tmpl w:val="7BC00A4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nsid w:val="7C773266"/>
    <w:multiLevelType w:val="hybridMultilevel"/>
    <w:tmpl w:val="76AE95D2"/>
    <w:lvl w:ilvl="0" w:tplc="413C222C">
      <w:start w:val="1"/>
      <w:numFmt w:val="decimal"/>
      <w:lvlText w:val="%1."/>
      <w:lvlJc w:val="left"/>
      <w:pPr>
        <w:ind w:left="1800" w:hanging="360"/>
      </w:pPr>
      <w:rPr>
        <w:rFonts w:hint="default"/>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5"/>
  </w:num>
  <w:num w:numId="4">
    <w:abstractNumId w:val="13"/>
  </w:num>
  <w:num w:numId="5">
    <w:abstractNumId w:val="11"/>
  </w:num>
  <w:num w:numId="6">
    <w:abstractNumId w:val="35"/>
  </w:num>
  <w:num w:numId="7">
    <w:abstractNumId w:val="1"/>
  </w:num>
  <w:num w:numId="8">
    <w:abstractNumId w:val="15"/>
  </w:num>
  <w:num w:numId="9">
    <w:abstractNumId w:val="23"/>
  </w:num>
  <w:num w:numId="10">
    <w:abstractNumId w:val="5"/>
  </w:num>
  <w:num w:numId="11">
    <w:abstractNumId w:val="8"/>
  </w:num>
  <w:num w:numId="12">
    <w:abstractNumId w:val="9"/>
  </w:num>
  <w:num w:numId="13">
    <w:abstractNumId w:val="18"/>
  </w:num>
  <w:num w:numId="14">
    <w:abstractNumId w:val="10"/>
  </w:num>
  <w:num w:numId="15">
    <w:abstractNumId w:val="33"/>
  </w:num>
  <w:num w:numId="16">
    <w:abstractNumId w:val="4"/>
  </w:num>
  <w:num w:numId="17">
    <w:abstractNumId w:val="32"/>
  </w:num>
  <w:num w:numId="18">
    <w:abstractNumId w:val="17"/>
  </w:num>
  <w:num w:numId="19">
    <w:abstractNumId w:val="7"/>
  </w:num>
  <w:num w:numId="20">
    <w:abstractNumId w:val="16"/>
  </w:num>
  <w:num w:numId="21">
    <w:abstractNumId w:val="0"/>
    <w:lvlOverride w:ilvl="0">
      <w:lvl w:ilvl="0">
        <w:start w:val="65535"/>
        <w:numFmt w:val="bullet"/>
        <w:lvlText w:val="•"/>
        <w:legacy w:legacy="1" w:legacySpace="0" w:legacyIndent="197"/>
        <w:lvlJc w:val="left"/>
        <w:rPr>
          <w:rFonts w:ascii="Arial" w:hAnsi="Arial" w:hint="default"/>
        </w:rPr>
      </w:lvl>
    </w:lvlOverride>
  </w:num>
  <w:num w:numId="22">
    <w:abstractNumId w:val="28"/>
  </w:num>
  <w:num w:numId="23">
    <w:abstractNumId w:val="26"/>
  </w:num>
  <w:num w:numId="24">
    <w:abstractNumId w:val="2"/>
  </w:num>
  <w:num w:numId="25">
    <w:abstractNumId w:val="21"/>
  </w:num>
  <w:num w:numId="26">
    <w:abstractNumId w:val="3"/>
  </w:num>
  <w:num w:numId="27">
    <w:abstractNumId w:val="27"/>
  </w:num>
  <w:num w:numId="28">
    <w:abstractNumId w:val="20"/>
  </w:num>
  <w:num w:numId="29">
    <w:abstractNumId w:val="24"/>
  </w:num>
  <w:num w:numId="30">
    <w:abstractNumId w:val="34"/>
  </w:num>
  <w:num w:numId="31">
    <w:abstractNumId w:val="22"/>
  </w:num>
  <w:num w:numId="32">
    <w:abstractNumId w:val="31"/>
  </w:num>
  <w:num w:numId="33">
    <w:abstractNumId w:val="12"/>
  </w:num>
  <w:num w:numId="34">
    <w:abstractNumId w:val="6"/>
  </w:num>
  <w:num w:numId="35">
    <w:abstractNumId w:val="19"/>
  </w:num>
  <w:num w:numId="36">
    <w:abstractNumId w:val="1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FA"/>
    <w:rsid w:val="00000BD5"/>
    <w:rsid w:val="00025331"/>
    <w:rsid w:val="00044DE8"/>
    <w:rsid w:val="00052818"/>
    <w:rsid w:val="000556A7"/>
    <w:rsid w:val="00062229"/>
    <w:rsid w:val="00073B41"/>
    <w:rsid w:val="00084011"/>
    <w:rsid w:val="000955BE"/>
    <w:rsid w:val="000A0EB9"/>
    <w:rsid w:val="000A425D"/>
    <w:rsid w:val="000B1E3A"/>
    <w:rsid w:val="000B2C6F"/>
    <w:rsid w:val="000B3821"/>
    <w:rsid w:val="000B520F"/>
    <w:rsid w:val="000C7864"/>
    <w:rsid w:val="000D7CBE"/>
    <w:rsid w:val="000E7B90"/>
    <w:rsid w:val="001011C6"/>
    <w:rsid w:val="0010676C"/>
    <w:rsid w:val="0012481D"/>
    <w:rsid w:val="001264E8"/>
    <w:rsid w:val="00131B11"/>
    <w:rsid w:val="00136D63"/>
    <w:rsid w:val="0014009F"/>
    <w:rsid w:val="00141B8F"/>
    <w:rsid w:val="001661E6"/>
    <w:rsid w:val="0017377B"/>
    <w:rsid w:val="0019386F"/>
    <w:rsid w:val="001B1FC4"/>
    <w:rsid w:val="001B3C91"/>
    <w:rsid w:val="001B44C4"/>
    <w:rsid w:val="001E35BE"/>
    <w:rsid w:val="001E67CD"/>
    <w:rsid w:val="001E7EAD"/>
    <w:rsid w:val="001F4B91"/>
    <w:rsid w:val="001F77FF"/>
    <w:rsid w:val="00213CFA"/>
    <w:rsid w:val="00214691"/>
    <w:rsid w:val="00214EFF"/>
    <w:rsid w:val="00216A26"/>
    <w:rsid w:val="00221044"/>
    <w:rsid w:val="00226EE3"/>
    <w:rsid w:val="00231351"/>
    <w:rsid w:val="00240557"/>
    <w:rsid w:val="00264DD6"/>
    <w:rsid w:val="00265905"/>
    <w:rsid w:val="0026664A"/>
    <w:rsid w:val="002747CC"/>
    <w:rsid w:val="00274FB8"/>
    <w:rsid w:val="00281A32"/>
    <w:rsid w:val="00283D6A"/>
    <w:rsid w:val="00291D3C"/>
    <w:rsid w:val="00296415"/>
    <w:rsid w:val="002A3864"/>
    <w:rsid w:val="002A3E93"/>
    <w:rsid w:val="002A7F79"/>
    <w:rsid w:val="002D3781"/>
    <w:rsid w:val="002E1BEA"/>
    <w:rsid w:val="002E24E1"/>
    <w:rsid w:val="002E2EA2"/>
    <w:rsid w:val="002F198A"/>
    <w:rsid w:val="002F470D"/>
    <w:rsid w:val="00301766"/>
    <w:rsid w:val="00310294"/>
    <w:rsid w:val="00310297"/>
    <w:rsid w:val="00337350"/>
    <w:rsid w:val="003406F2"/>
    <w:rsid w:val="003473AE"/>
    <w:rsid w:val="0034743B"/>
    <w:rsid w:val="00356508"/>
    <w:rsid w:val="00374516"/>
    <w:rsid w:val="0038046C"/>
    <w:rsid w:val="0038361A"/>
    <w:rsid w:val="00393359"/>
    <w:rsid w:val="003A42CD"/>
    <w:rsid w:val="003A4BCD"/>
    <w:rsid w:val="003A5602"/>
    <w:rsid w:val="003A7410"/>
    <w:rsid w:val="003B55ED"/>
    <w:rsid w:val="003B6E9F"/>
    <w:rsid w:val="003C51EB"/>
    <w:rsid w:val="003D67BD"/>
    <w:rsid w:val="003E5443"/>
    <w:rsid w:val="003F0385"/>
    <w:rsid w:val="003F7D96"/>
    <w:rsid w:val="003F7EC2"/>
    <w:rsid w:val="00401D1F"/>
    <w:rsid w:val="00401D8D"/>
    <w:rsid w:val="00404763"/>
    <w:rsid w:val="004223DB"/>
    <w:rsid w:val="00427829"/>
    <w:rsid w:val="00460884"/>
    <w:rsid w:val="00471BA0"/>
    <w:rsid w:val="00474C7C"/>
    <w:rsid w:val="00477D98"/>
    <w:rsid w:val="004863E5"/>
    <w:rsid w:val="0049428F"/>
    <w:rsid w:val="004A13CE"/>
    <w:rsid w:val="004A4CF5"/>
    <w:rsid w:val="004A4E7F"/>
    <w:rsid w:val="004A69AE"/>
    <w:rsid w:val="004B0BD8"/>
    <w:rsid w:val="004C7E64"/>
    <w:rsid w:val="004D3E49"/>
    <w:rsid w:val="004E178E"/>
    <w:rsid w:val="005370DE"/>
    <w:rsid w:val="005404C4"/>
    <w:rsid w:val="00546D5D"/>
    <w:rsid w:val="00567696"/>
    <w:rsid w:val="00573685"/>
    <w:rsid w:val="0057429E"/>
    <w:rsid w:val="0058412A"/>
    <w:rsid w:val="00587053"/>
    <w:rsid w:val="0059014A"/>
    <w:rsid w:val="005A46D4"/>
    <w:rsid w:val="005A4AD7"/>
    <w:rsid w:val="005C0F41"/>
    <w:rsid w:val="005C3CA4"/>
    <w:rsid w:val="005D09C4"/>
    <w:rsid w:val="005E00D2"/>
    <w:rsid w:val="005E103C"/>
    <w:rsid w:val="005E3240"/>
    <w:rsid w:val="005E7A11"/>
    <w:rsid w:val="005F3C4D"/>
    <w:rsid w:val="005F70D9"/>
    <w:rsid w:val="006128BC"/>
    <w:rsid w:val="00617302"/>
    <w:rsid w:val="00617663"/>
    <w:rsid w:val="00623460"/>
    <w:rsid w:val="00623878"/>
    <w:rsid w:val="006301B2"/>
    <w:rsid w:val="00637700"/>
    <w:rsid w:val="00653BEC"/>
    <w:rsid w:val="006639F2"/>
    <w:rsid w:val="0066457F"/>
    <w:rsid w:val="00667163"/>
    <w:rsid w:val="006671A0"/>
    <w:rsid w:val="0068119E"/>
    <w:rsid w:val="0068435E"/>
    <w:rsid w:val="00694CC7"/>
    <w:rsid w:val="00697768"/>
    <w:rsid w:val="006A7454"/>
    <w:rsid w:val="006A7EF0"/>
    <w:rsid w:val="006B15C4"/>
    <w:rsid w:val="006C1551"/>
    <w:rsid w:val="006C3B31"/>
    <w:rsid w:val="006D5BD1"/>
    <w:rsid w:val="006E6EEF"/>
    <w:rsid w:val="006F7F20"/>
    <w:rsid w:val="00714421"/>
    <w:rsid w:val="00716B82"/>
    <w:rsid w:val="00721678"/>
    <w:rsid w:val="007261D2"/>
    <w:rsid w:val="0073249C"/>
    <w:rsid w:val="0075204F"/>
    <w:rsid w:val="00752696"/>
    <w:rsid w:val="007529DF"/>
    <w:rsid w:val="0076598A"/>
    <w:rsid w:val="00772FD2"/>
    <w:rsid w:val="00774172"/>
    <w:rsid w:val="00782E88"/>
    <w:rsid w:val="00790AD2"/>
    <w:rsid w:val="0079279C"/>
    <w:rsid w:val="00794B3E"/>
    <w:rsid w:val="007A6237"/>
    <w:rsid w:val="007A6674"/>
    <w:rsid w:val="007C28C9"/>
    <w:rsid w:val="007C4083"/>
    <w:rsid w:val="007D3B62"/>
    <w:rsid w:val="007D4214"/>
    <w:rsid w:val="007E4F39"/>
    <w:rsid w:val="007F1631"/>
    <w:rsid w:val="00800E22"/>
    <w:rsid w:val="008021F9"/>
    <w:rsid w:val="00810204"/>
    <w:rsid w:val="008141FF"/>
    <w:rsid w:val="0083261E"/>
    <w:rsid w:val="00836DA4"/>
    <w:rsid w:val="00843741"/>
    <w:rsid w:val="008439F2"/>
    <w:rsid w:val="00846EC7"/>
    <w:rsid w:val="00850661"/>
    <w:rsid w:val="00851CC6"/>
    <w:rsid w:val="0085339E"/>
    <w:rsid w:val="0085373D"/>
    <w:rsid w:val="00854E33"/>
    <w:rsid w:val="00855D07"/>
    <w:rsid w:val="008646E4"/>
    <w:rsid w:val="0086697F"/>
    <w:rsid w:val="00873326"/>
    <w:rsid w:val="00886387"/>
    <w:rsid w:val="00891732"/>
    <w:rsid w:val="00895C65"/>
    <w:rsid w:val="008A0D40"/>
    <w:rsid w:val="008B2CEC"/>
    <w:rsid w:val="008E52C5"/>
    <w:rsid w:val="008E7896"/>
    <w:rsid w:val="008F2D59"/>
    <w:rsid w:val="00901E95"/>
    <w:rsid w:val="00903174"/>
    <w:rsid w:val="00910C3C"/>
    <w:rsid w:val="00914092"/>
    <w:rsid w:val="0093206E"/>
    <w:rsid w:val="00940E7E"/>
    <w:rsid w:val="00947181"/>
    <w:rsid w:val="009508F7"/>
    <w:rsid w:val="00950DFC"/>
    <w:rsid w:val="00971428"/>
    <w:rsid w:val="00976B9C"/>
    <w:rsid w:val="0098275C"/>
    <w:rsid w:val="00987E8F"/>
    <w:rsid w:val="009B4557"/>
    <w:rsid w:val="009B4C44"/>
    <w:rsid w:val="009C1D08"/>
    <w:rsid w:val="009C59B7"/>
    <w:rsid w:val="009C5DA2"/>
    <w:rsid w:val="009E1216"/>
    <w:rsid w:val="009F79DF"/>
    <w:rsid w:val="00A05371"/>
    <w:rsid w:val="00A1359D"/>
    <w:rsid w:val="00A1473D"/>
    <w:rsid w:val="00A17B59"/>
    <w:rsid w:val="00A2121B"/>
    <w:rsid w:val="00A31F18"/>
    <w:rsid w:val="00A428F1"/>
    <w:rsid w:val="00A44FB4"/>
    <w:rsid w:val="00A5477D"/>
    <w:rsid w:val="00A64352"/>
    <w:rsid w:val="00A64E21"/>
    <w:rsid w:val="00A67765"/>
    <w:rsid w:val="00A724B6"/>
    <w:rsid w:val="00A8347B"/>
    <w:rsid w:val="00A87636"/>
    <w:rsid w:val="00AB1B91"/>
    <w:rsid w:val="00AB41BE"/>
    <w:rsid w:val="00AD2623"/>
    <w:rsid w:val="00AD7B98"/>
    <w:rsid w:val="00AE6DCD"/>
    <w:rsid w:val="00AF78D5"/>
    <w:rsid w:val="00B11316"/>
    <w:rsid w:val="00B22BD6"/>
    <w:rsid w:val="00B37CFC"/>
    <w:rsid w:val="00B4486A"/>
    <w:rsid w:val="00B47759"/>
    <w:rsid w:val="00B52368"/>
    <w:rsid w:val="00B60C9F"/>
    <w:rsid w:val="00B61F15"/>
    <w:rsid w:val="00B6370D"/>
    <w:rsid w:val="00B707FF"/>
    <w:rsid w:val="00B72313"/>
    <w:rsid w:val="00B829AD"/>
    <w:rsid w:val="00B83A98"/>
    <w:rsid w:val="00BA08AF"/>
    <w:rsid w:val="00BB1356"/>
    <w:rsid w:val="00BB24F9"/>
    <w:rsid w:val="00BC0263"/>
    <w:rsid w:val="00BC3CB1"/>
    <w:rsid w:val="00BC6A59"/>
    <w:rsid w:val="00BD10D9"/>
    <w:rsid w:val="00BE7440"/>
    <w:rsid w:val="00C0767F"/>
    <w:rsid w:val="00C228F3"/>
    <w:rsid w:val="00C45591"/>
    <w:rsid w:val="00C52632"/>
    <w:rsid w:val="00C650E9"/>
    <w:rsid w:val="00C65E96"/>
    <w:rsid w:val="00C721E4"/>
    <w:rsid w:val="00C7302C"/>
    <w:rsid w:val="00C83896"/>
    <w:rsid w:val="00C94429"/>
    <w:rsid w:val="00C94F35"/>
    <w:rsid w:val="00CC3F90"/>
    <w:rsid w:val="00CD21AC"/>
    <w:rsid w:val="00CD4F08"/>
    <w:rsid w:val="00CE1164"/>
    <w:rsid w:val="00D038B4"/>
    <w:rsid w:val="00D04A81"/>
    <w:rsid w:val="00D3227A"/>
    <w:rsid w:val="00D322FA"/>
    <w:rsid w:val="00D339F6"/>
    <w:rsid w:val="00D33BE4"/>
    <w:rsid w:val="00D341FF"/>
    <w:rsid w:val="00D40D2F"/>
    <w:rsid w:val="00D4728F"/>
    <w:rsid w:val="00D65809"/>
    <w:rsid w:val="00D74AE3"/>
    <w:rsid w:val="00D77965"/>
    <w:rsid w:val="00D832B7"/>
    <w:rsid w:val="00D8565E"/>
    <w:rsid w:val="00D9300D"/>
    <w:rsid w:val="00DA01E5"/>
    <w:rsid w:val="00DB0606"/>
    <w:rsid w:val="00DB3F55"/>
    <w:rsid w:val="00DC3AC5"/>
    <w:rsid w:val="00DC5867"/>
    <w:rsid w:val="00DD27F3"/>
    <w:rsid w:val="00DE600A"/>
    <w:rsid w:val="00DE69D6"/>
    <w:rsid w:val="00E06B31"/>
    <w:rsid w:val="00E20D05"/>
    <w:rsid w:val="00E2518C"/>
    <w:rsid w:val="00E36246"/>
    <w:rsid w:val="00E50A5B"/>
    <w:rsid w:val="00E64251"/>
    <w:rsid w:val="00E77F81"/>
    <w:rsid w:val="00E82863"/>
    <w:rsid w:val="00E841DB"/>
    <w:rsid w:val="00E90B56"/>
    <w:rsid w:val="00E91981"/>
    <w:rsid w:val="00EA17B8"/>
    <w:rsid w:val="00EB27BC"/>
    <w:rsid w:val="00EB2EAB"/>
    <w:rsid w:val="00EB78E9"/>
    <w:rsid w:val="00EC039F"/>
    <w:rsid w:val="00EC2D96"/>
    <w:rsid w:val="00EC5781"/>
    <w:rsid w:val="00ED00F3"/>
    <w:rsid w:val="00EE23D0"/>
    <w:rsid w:val="00EE4F4C"/>
    <w:rsid w:val="00EF58B4"/>
    <w:rsid w:val="00F05CCA"/>
    <w:rsid w:val="00F0624B"/>
    <w:rsid w:val="00F151F6"/>
    <w:rsid w:val="00F22711"/>
    <w:rsid w:val="00F249BC"/>
    <w:rsid w:val="00F24AE2"/>
    <w:rsid w:val="00F37425"/>
    <w:rsid w:val="00F51BDE"/>
    <w:rsid w:val="00F72D5D"/>
    <w:rsid w:val="00F87C1D"/>
    <w:rsid w:val="00FA3A29"/>
    <w:rsid w:val="00FC10D3"/>
    <w:rsid w:val="00FC1FB9"/>
    <w:rsid w:val="00FC6BFB"/>
    <w:rsid w:val="00FF73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88F4"/>
  <w15:chartTrackingRefBased/>
  <w15:docId w15:val="{54B2F7BA-3BE3-4304-9F9B-FBD3B6AC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855D07"/>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A7410"/>
    <w:pPr>
      <w:spacing w:line="256" w:lineRule="auto"/>
      <w:ind w:left="720"/>
      <w:contextualSpacing/>
    </w:pPr>
  </w:style>
  <w:style w:type="character" w:customStyle="1" w:styleId="d">
    <w:name w:val="d"/>
    <w:basedOn w:val="Liguvaikefont"/>
    <w:rsid w:val="003A7410"/>
  </w:style>
  <w:style w:type="character" w:styleId="Kommentaariviide">
    <w:name w:val="annotation reference"/>
    <w:basedOn w:val="Liguvaikefont"/>
    <w:uiPriority w:val="99"/>
    <w:semiHidden/>
    <w:unhideWhenUsed/>
    <w:rsid w:val="00FC6BFB"/>
    <w:rPr>
      <w:sz w:val="16"/>
      <w:szCs w:val="16"/>
    </w:rPr>
  </w:style>
  <w:style w:type="paragraph" w:styleId="Kommentaaritekst">
    <w:name w:val="annotation text"/>
    <w:basedOn w:val="Normaallaad"/>
    <w:link w:val="KommentaaritekstMrk"/>
    <w:uiPriority w:val="99"/>
    <w:unhideWhenUsed/>
    <w:rsid w:val="00FC6BFB"/>
    <w:pPr>
      <w:spacing w:line="240" w:lineRule="auto"/>
    </w:pPr>
    <w:rPr>
      <w:sz w:val="20"/>
      <w:szCs w:val="20"/>
    </w:rPr>
  </w:style>
  <w:style w:type="character" w:customStyle="1" w:styleId="KommentaaritekstMrk">
    <w:name w:val="Kommentaari tekst Märk"/>
    <w:basedOn w:val="Liguvaikefont"/>
    <w:link w:val="Kommentaaritekst"/>
    <w:uiPriority w:val="99"/>
    <w:rsid w:val="00FC6BFB"/>
    <w:rPr>
      <w:sz w:val="20"/>
      <w:szCs w:val="20"/>
    </w:rPr>
  </w:style>
  <w:style w:type="paragraph" w:styleId="Kommentaariteema">
    <w:name w:val="annotation subject"/>
    <w:basedOn w:val="Kommentaaritekst"/>
    <w:next w:val="Kommentaaritekst"/>
    <w:link w:val="KommentaariteemaMrk"/>
    <w:uiPriority w:val="99"/>
    <w:semiHidden/>
    <w:unhideWhenUsed/>
    <w:rsid w:val="00FC6BFB"/>
    <w:rPr>
      <w:b/>
      <w:bCs/>
    </w:rPr>
  </w:style>
  <w:style w:type="character" w:customStyle="1" w:styleId="KommentaariteemaMrk">
    <w:name w:val="Kommentaari teema Märk"/>
    <w:basedOn w:val="KommentaaritekstMrk"/>
    <w:link w:val="Kommentaariteema"/>
    <w:uiPriority w:val="99"/>
    <w:semiHidden/>
    <w:rsid w:val="00FC6BFB"/>
    <w:rPr>
      <w:b/>
      <w:bCs/>
      <w:sz w:val="20"/>
      <w:szCs w:val="20"/>
    </w:rPr>
  </w:style>
  <w:style w:type="paragraph" w:styleId="Jutumullitekst">
    <w:name w:val="Balloon Text"/>
    <w:basedOn w:val="Normaallaad"/>
    <w:link w:val="JutumullitekstMrk"/>
    <w:uiPriority w:val="99"/>
    <w:semiHidden/>
    <w:unhideWhenUsed/>
    <w:rsid w:val="00FC6B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C6BFB"/>
    <w:rPr>
      <w:rFonts w:ascii="Segoe UI" w:hAnsi="Segoe UI" w:cs="Segoe UI"/>
      <w:sz w:val="18"/>
      <w:szCs w:val="18"/>
    </w:rPr>
  </w:style>
  <w:style w:type="table" w:styleId="Kontuurtabel">
    <w:name w:val="Table Grid"/>
    <w:basedOn w:val="Normaaltabel"/>
    <w:uiPriority w:val="39"/>
    <w:rsid w:val="00F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DE600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E600A"/>
    <w:rPr>
      <w:sz w:val="20"/>
      <w:szCs w:val="20"/>
    </w:rPr>
  </w:style>
  <w:style w:type="character" w:styleId="Allmrkuseviide">
    <w:name w:val="footnote reference"/>
    <w:basedOn w:val="Liguvaikefont"/>
    <w:uiPriority w:val="99"/>
    <w:semiHidden/>
    <w:unhideWhenUsed/>
    <w:rsid w:val="00DE600A"/>
    <w:rPr>
      <w:vertAlign w:val="superscript"/>
    </w:rPr>
  </w:style>
  <w:style w:type="character" w:customStyle="1" w:styleId="Pealkiri3Mrk">
    <w:name w:val="Pealkiri 3 Märk"/>
    <w:basedOn w:val="Liguvaikefont"/>
    <w:link w:val="Pealkiri3"/>
    <w:uiPriority w:val="9"/>
    <w:rsid w:val="00855D07"/>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855D07"/>
    <w:rPr>
      <w:b/>
      <w:bCs/>
    </w:rPr>
  </w:style>
  <w:style w:type="paragraph" w:styleId="Normaallaadveeb">
    <w:name w:val="Normal (Web)"/>
    <w:basedOn w:val="Normaallaad"/>
    <w:uiPriority w:val="99"/>
    <w:unhideWhenUsed/>
    <w:rsid w:val="00855D0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perlink">
    <w:name w:val="Hyperlink"/>
    <w:basedOn w:val="Liguvaikefont"/>
    <w:uiPriority w:val="99"/>
    <w:unhideWhenUsed/>
    <w:rsid w:val="00855D07"/>
    <w:rPr>
      <w:color w:val="0000FF"/>
      <w:u w:val="single"/>
    </w:rPr>
  </w:style>
  <w:style w:type="character" w:customStyle="1" w:styleId="tyhik">
    <w:name w:val="tyhik"/>
    <w:basedOn w:val="Liguvaikefont"/>
    <w:rsid w:val="00855D07"/>
  </w:style>
  <w:style w:type="character" w:customStyle="1" w:styleId="mm">
    <w:name w:val="mm"/>
    <w:basedOn w:val="Liguvaikefont"/>
    <w:rsid w:val="00855D07"/>
  </w:style>
  <w:style w:type="paragraph" w:customStyle="1" w:styleId="Default">
    <w:name w:val="Default"/>
    <w:rsid w:val="009F79DF"/>
    <w:pPr>
      <w:autoSpaceDE w:val="0"/>
      <w:autoSpaceDN w:val="0"/>
      <w:adjustRightInd w:val="0"/>
      <w:spacing w:after="0" w:line="240" w:lineRule="auto"/>
    </w:pPr>
    <w:rPr>
      <w:rFonts w:ascii="Times New Roman" w:hAnsi="Times New Roman" w:cs="Times New Roman"/>
      <w:color w:val="000000"/>
      <w:sz w:val="24"/>
      <w:szCs w:val="24"/>
    </w:rPr>
  </w:style>
  <w:style w:type="paragraph" w:styleId="Vahedeta">
    <w:name w:val="No Spacing"/>
    <w:uiPriority w:val="1"/>
    <w:qFormat/>
    <w:rsid w:val="009C5DA2"/>
    <w:pPr>
      <w:spacing w:after="0" w:line="240" w:lineRule="auto"/>
    </w:pPr>
  </w:style>
  <w:style w:type="paragraph" w:styleId="Redaktsioon">
    <w:name w:val="Revision"/>
    <w:hidden/>
    <w:uiPriority w:val="99"/>
    <w:semiHidden/>
    <w:rsid w:val="00971428"/>
    <w:pPr>
      <w:spacing w:after="0" w:line="240" w:lineRule="auto"/>
    </w:pPr>
  </w:style>
  <w:style w:type="character" w:styleId="Klastatudhperlink">
    <w:name w:val="FollowedHyperlink"/>
    <w:basedOn w:val="Liguvaikefont"/>
    <w:uiPriority w:val="99"/>
    <w:semiHidden/>
    <w:unhideWhenUsed/>
    <w:rsid w:val="00574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1053">
      <w:bodyDiv w:val="1"/>
      <w:marLeft w:val="0"/>
      <w:marRight w:val="0"/>
      <w:marTop w:val="0"/>
      <w:marBottom w:val="0"/>
      <w:divBdr>
        <w:top w:val="none" w:sz="0" w:space="0" w:color="auto"/>
        <w:left w:val="none" w:sz="0" w:space="0" w:color="auto"/>
        <w:bottom w:val="none" w:sz="0" w:space="0" w:color="auto"/>
        <w:right w:val="none" w:sz="0" w:space="0" w:color="auto"/>
      </w:divBdr>
    </w:div>
    <w:div w:id="511191452">
      <w:bodyDiv w:val="1"/>
      <w:marLeft w:val="0"/>
      <w:marRight w:val="0"/>
      <w:marTop w:val="0"/>
      <w:marBottom w:val="0"/>
      <w:divBdr>
        <w:top w:val="none" w:sz="0" w:space="0" w:color="auto"/>
        <w:left w:val="none" w:sz="0" w:space="0" w:color="auto"/>
        <w:bottom w:val="none" w:sz="0" w:space="0" w:color="auto"/>
        <w:right w:val="none" w:sz="0" w:space="0" w:color="auto"/>
      </w:divBdr>
    </w:div>
    <w:div w:id="1194078447">
      <w:bodyDiv w:val="1"/>
      <w:marLeft w:val="0"/>
      <w:marRight w:val="0"/>
      <w:marTop w:val="0"/>
      <w:marBottom w:val="0"/>
      <w:divBdr>
        <w:top w:val="none" w:sz="0" w:space="0" w:color="auto"/>
        <w:left w:val="none" w:sz="0" w:space="0" w:color="auto"/>
        <w:bottom w:val="none" w:sz="0" w:space="0" w:color="auto"/>
        <w:right w:val="none" w:sz="0" w:space="0" w:color="auto"/>
      </w:divBdr>
    </w:div>
    <w:div w:id="1340699205">
      <w:bodyDiv w:val="1"/>
      <w:marLeft w:val="0"/>
      <w:marRight w:val="0"/>
      <w:marTop w:val="0"/>
      <w:marBottom w:val="0"/>
      <w:divBdr>
        <w:top w:val="none" w:sz="0" w:space="0" w:color="auto"/>
        <w:left w:val="none" w:sz="0" w:space="0" w:color="auto"/>
        <w:bottom w:val="none" w:sz="0" w:space="0" w:color="auto"/>
        <w:right w:val="none" w:sz="0" w:space="0" w:color="auto"/>
      </w:divBdr>
    </w:div>
    <w:div w:id="1501316365">
      <w:bodyDiv w:val="1"/>
      <w:marLeft w:val="0"/>
      <w:marRight w:val="0"/>
      <w:marTop w:val="0"/>
      <w:marBottom w:val="0"/>
      <w:divBdr>
        <w:top w:val="none" w:sz="0" w:space="0" w:color="auto"/>
        <w:left w:val="none" w:sz="0" w:space="0" w:color="auto"/>
        <w:bottom w:val="none" w:sz="0" w:space="0" w:color="auto"/>
        <w:right w:val="none" w:sz="0" w:space="0" w:color="auto"/>
      </w:divBdr>
    </w:div>
    <w:div w:id="1591819145">
      <w:bodyDiv w:val="1"/>
      <w:marLeft w:val="0"/>
      <w:marRight w:val="0"/>
      <w:marTop w:val="0"/>
      <w:marBottom w:val="0"/>
      <w:divBdr>
        <w:top w:val="none" w:sz="0" w:space="0" w:color="auto"/>
        <w:left w:val="none" w:sz="0" w:space="0" w:color="auto"/>
        <w:bottom w:val="none" w:sz="0" w:space="0" w:color="auto"/>
        <w:right w:val="none" w:sz="0" w:space="0" w:color="auto"/>
      </w:divBdr>
    </w:div>
    <w:div w:id="202166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834781?leiaKehti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ag.ee/tegevused/evalveerimine/korraline-evalveerimine/korraline-evalveerimine-2017/" TargetMode="External"/><Relationship Id="rId5" Type="http://schemas.openxmlformats.org/officeDocument/2006/relationships/webSettings" Target="webSettings.xml"/><Relationship Id="rId10" Type="http://schemas.openxmlformats.org/officeDocument/2006/relationships/hyperlink" Target="https://www.riigiteataja.ee/akt/104112016003" TargetMode="External"/><Relationship Id="rId4" Type="http://schemas.openxmlformats.org/officeDocument/2006/relationships/settings" Target="settings.xml"/><Relationship Id="rId9" Type="http://schemas.openxmlformats.org/officeDocument/2006/relationships/hyperlink" Target="https://www.riigiteataja.ee/akt/110072012028?leiaKehti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tag.ee/tegevused/evalveerimine/korraline-evalveerimine/korraline-evalveerimine-2017/" TargetMode="External"/><Relationship Id="rId2" Type="http://schemas.openxmlformats.org/officeDocument/2006/relationships/hyperlink" Target="http://www.etag.ee/tegevused/evalveerimine/korraline-evalveerimine/korraline-evalveerimine-2017/%20" TargetMode="External"/><Relationship Id="rId1" Type="http://schemas.openxmlformats.org/officeDocument/2006/relationships/hyperlink" Target="http://www.etag.ee/tegevused/evalveerimine/korraline-evalveerimine/korraline-evalveerimine-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10DD-C63C-49E7-87D7-94E9D9CF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3742</Words>
  <Characters>21708</Characters>
  <Application>Microsoft Office Word</Application>
  <DocSecurity>0</DocSecurity>
  <Lines>180</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Korralise evalveerimise hindamisjuhend</vt:lpstr>
      <vt:lpstr>Lisa 1. KEV hindamisjuhend</vt:lpstr>
    </vt:vector>
  </TitlesOfParts>
  <Company/>
  <LinksUpToDate>false</LinksUpToDate>
  <CharactersWithSpaces>25400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Korralise evalveerimise hindamisjuhend</dc:title>
  <dc:subject/>
  <dc:creator>Siret Rutiku</dc:creator>
  <dc:description/>
  <cp:lastModifiedBy>Maarja Sillaste</cp:lastModifiedBy>
  <cp:revision>2</cp:revision>
  <dcterms:created xsi:type="dcterms:W3CDTF">2017-03-30T06:12:00Z</dcterms:created>
  <dcterms:modified xsi:type="dcterms:W3CDTF">2017-03-30T06:12:00Z</dcterms:modified>
</cp:coreProperties>
</file>