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3220" w14:textId="77777777" w:rsidR="00492E04" w:rsidRDefault="00DE355E" w:rsidP="00492E04">
      <w:pPr>
        <w:jc w:val="center"/>
        <w:rPr>
          <w:b/>
          <w:sz w:val="36"/>
        </w:rPr>
      </w:pPr>
      <w:bookmarkStart w:id="0" w:name="_GoBack"/>
      <w:bookmarkEnd w:id="0"/>
      <w:r w:rsidRPr="00D160D1">
        <w:rPr>
          <w:b/>
          <w:sz w:val="36"/>
        </w:rPr>
        <w:t>Brüsseli büroo edastatavad teadusuudised</w:t>
      </w:r>
      <w:r w:rsidR="00492E04">
        <w:rPr>
          <w:b/>
          <w:sz w:val="36"/>
        </w:rPr>
        <w:t xml:space="preserve"> </w:t>
      </w:r>
    </w:p>
    <w:p w14:paraId="2065C644" w14:textId="66599F74" w:rsidR="00DE355E" w:rsidRPr="00D160D1" w:rsidRDefault="003573A2" w:rsidP="00492E04">
      <w:pPr>
        <w:jc w:val="center"/>
        <w:rPr>
          <w:b/>
          <w:sz w:val="36"/>
        </w:rPr>
      </w:pPr>
      <w:r>
        <w:rPr>
          <w:b/>
          <w:sz w:val="36"/>
        </w:rPr>
        <w:t>J</w:t>
      </w:r>
      <w:r w:rsidR="00DE355E">
        <w:rPr>
          <w:b/>
          <w:sz w:val="36"/>
        </w:rPr>
        <w:t>uuni</w:t>
      </w:r>
      <w:r w:rsidR="00DE355E" w:rsidRPr="00D160D1">
        <w:rPr>
          <w:b/>
          <w:sz w:val="36"/>
        </w:rPr>
        <w:t xml:space="preserve"> 2016</w:t>
      </w:r>
    </w:p>
    <w:p w14:paraId="7B73F11F" w14:textId="77777777" w:rsidR="007F62EC" w:rsidRDefault="007F62EC"/>
    <w:p w14:paraId="051B8D1B" w14:textId="77777777" w:rsidR="00D73AAA" w:rsidRDefault="00D73AAA" w:rsidP="00B91A0D">
      <w:pPr>
        <w:jc w:val="both"/>
      </w:pPr>
    </w:p>
    <w:p w14:paraId="6D5E0BF0" w14:textId="77777777" w:rsidR="00B001A9" w:rsidRDefault="00C12E7C">
      <w:pPr>
        <w:pStyle w:val="TOC1"/>
        <w:tabs>
          <w:tab w:val="right" w:leader="dot" w:pos="8290"/>
        </w:tabs>
        <w:rPr>
          <w:b w:val="0"/>
          <w:noProof/>
          <w:lang w:val="en-GB" w:eastAsia="ja-JP"/>
        </w:rPr>
      </w:pPr>
      <w:r>
        <w:fldChar w:fldCharType="begin"/>
      </w:r>
      <w:r>
        <w:instrText xml:space="preserve"> TOC \o "1-3" </w:instrText>
      </w:r>
      <w:r>
        <w:fldChar w:fldCharType="separate"/>
      </w:r>
      <w:r w:rsidR="00B001A9">
        <w:rPr>
          <w:noProof/>
        </w:rPr>
        <w:t>Üldised teadusuudised</w:t>
      </w:r>
      <w:r w:rsidR="00B001A9">
        <w:rPr>
          <w:noProof/>
        </w:rPr>
        <w:tab/>
      </w:r>
      <w:r w:rsidR="00B001A9">
        <w:rPr>
          <w:noProof/>
        </w:rPr>
        <w:fldChar w:fldCharType="begin"/>
      </w:r>
      <w:r w:rsidR="00B001A9">
        <w:rPr>
          <w:noProof/>
        </w:rPr>
        <w:instrText xml:space="preserve"> PAGEREF _Toc330106434 \h </w:instrText>
      </w:r>
      <w:r w:rsidR="00B001A9">
        <w:rPr>
          <w:noProof/>
        </w:rPr>
      </w:r>
      <w:r w:rsidR="00B001A9">
        <w:rPr>
          <w:noProof/>
        </w:rPr>
        <w:fldChar w:fldCharType="separate"/>
      </w:r>
      <w:r w:rsidR="00B001A9">
        <w:rPr>
          <w:noProof/>
        </w:rPr>
        <w:t>1</w:t>
      </w:r>
      <w:r w:rsidR="00B001A9">
        <w:rPr>
          <w:noProof/>
        </w:rPr>
        <w:fldChar w:fldCharType="end"/>
      </w:r>
    </w:p>
    <w:p w14:paraId="4BFCECF3" w14:textId="77777777" w:rsidR="00B001A9" w:rsidRPr="00B001A9" w:rsidRDefault="00B001A9">
      <w:pPr>
        <w:pStyle w:val="TOC2"/>
        <w:tabs>
          <w:tab w:val="right" w:leader="dot" w:pos="8290"/>
        </w:tabs>
        <w:rPr>
          <w:b w:val="0"/>
          <w:noProof/>
          <w:sz w:val="24"/>
          <w:szCs w:val="24"/>
          <w:lang w:val="en-GB" w:eastAsia="ja-JP"/>
        </w:rPr>
      </w:pPr>
      <w:r w:rsidRPr="00B001A9">
        <w:rPr>
          <w:b w:val="0"/>
          <w:noProof/>
        </w:rPr>
        <w:t>Slovakkia – uus EL-i Nõukogu eesistuja</w:t>
      </w:r>
      <w:r w:rsidRPr="00B001A9">
        <w:rPr>
          <w:b w:val="0"/>
          <w:noProof/>
        </w:rPr>
        <w:tab/>
      </w:r>
      <w:r w:rsidRPr="00B001A9">
        <w:rPr>
          <w:b w:val="0"/>
          <w:noProof/>
        </w:rPr>
        <w:fldChar w:fldCharType="begin"/>
      </w:r>
      <w:r w:rsidRPr="00B001A9">
        <w:rPr>
          <w:b w:val="0"/>
          <w:noProof/>
        </w:rPr>
        <w:instrText xml:space="preserve"> PAGEREF _Toc330106435 \h </w:instrText>
      </w:r>
      <w:r w:rsidRPr="00B001A9">
        <w:rPr>
          <w:b w:val="0"/>
          <w:noProof/>
        </w:rPr>
      </w:r>
      <w:r w:rsidRPr="00B001A9">
        <w:rPr>
          <w:b w:val="0"/>
          <w:noProof/>
        </w:rPr>
        <w:fldChar w:fldCharType="separate"/>
      </w:r>
      <w:r w:rsidRPr="00B001A9">
        <w:rPr>
          <w:b w:val="0"/>
          <w:noProof/>
        </w:rPr>
        <w:t>1</w:t>
      </w:r>
      <w:r w:rsidRPr="00B001A9">
        <w:rPr>
          <w:b w:val="0"/>
          <w:noProof/>
        </w:rPr>
        <w:fldChar w:fldCharType="end"/>
      </w:r>
    </w:p>
    <w:p w14:paraId="411B07E9"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avatud teadus</w:t>
      </w:r>
      <w:r w:rsidRPr="00B001A9">
        <w:rPr>
          <w:b w:val="0"/>
          <w:noProof/>
        </w:rPr>
        <w:tab/>
      </w:r>
      <w:r w:rsidRPr="00B001A9">
        <w:rPr>
          <w:b w:val="0"/>
          <w:noProof/>
        </w:rPr>
        <w:fldChar w:fldCharType="begin"/>
      </w:r>
      <w:r w:rsidRPr="00B001A9">
        <w:rPr>
          <w:b w:val="0"/>
          <w:noProof/>
        </w:rPr>
        <w:instrText xml:space="preserve"> PAGEREF _Toc330106436 \h </w:instrText>
      </w:r>
      <w:r w:rsidRPr="00B001A9">
        <w:rPr>
          <w:b w:val="0"/>
          <w:noProof/>
        </w:rPr>
      </w:r>
      <w:r w:rsidRPr="00B001A9">
        <w:rPr>
          <w:b w:val="0"/>
          <w:noProof/>
        </w:rPr>
        <w:fldChar w:fldCharType="separate"/>
      </w:r>
      <w:r w:rsidRPr="00B001A9">
        <w:rPr>
          <w:b w:val="0"/>
          <w:noProof/>
        </w:rPr>
        <w:t>2</w:t>
      </w:r>
      <w:r w:rsidRPr="00B001A9">
        <w:rPr>
          <w:b w:val="0"/>
          <w:noProof/>
        </w:rPr>
        <w:fldChar w:fldCharType="end"/>
      </w:r>
    </w:p>
    <w:p w14:paraId="450B431F"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Strateegiliste Investeeringute Fondi (EFSI) edukus</w:t>
      </w:r>
      <w:r w:rsidRPr="00B001A9">
        <w:rPr>
          <w:b w:val="0"/>
          <w:noProof/>
        </w:rPr>
        <w:tab/>
      </w:r>
      <w:r w:rsidRPr="00B001A9">
        <w:rPr>
          <w:b w:val="0"/>
          <w:noProof/>
        </w:rPr>
        <w:fldChar w:fldCharType="begin"/>
      </w:r>
      <w:r w:rsidRPr="00B001A9">
        <w:rPr>
          <w:b w:val="0"/>
          <w:noProof/>
        </w:rPr>
        <w:instrText xml:space="preserve"> PAGEREF _Toc330106437 \h </w:instrText>
      </w:r>
      <w:r w:rsidRPr="00B001A9">
        <w:rPr>
          <w:b w:val="0"/>
          <w:noProof/>
        </w:rPr>
      </w:r>
      <w:r w:rsidRPr="00B001A9">
        <w:rPr>
          <w:b w:val="0"/>
          <w:noProof/>
        </w:rPr>
        <w:fldChar w:fldCharType="separate"/>
      </w:r>
      <w:r w:rsidRPr="00B001A9">
        <w:rPr>
          <w:b w:val="0"/>
          <w:noProof/>
        </w:rPr>
        <w:t>2</w:t>
      </w:r>
      <w:r w:rsidRPr="00B001A9">
        <w:rPr>
          <w:b w:val="0"/>
          <w:noProof/>
        </w:rPr>
        <w:fldChar w:fldCharType="end"/>
      </w:r>
    </w:p>
    <w:p w14:paraId="5C1ACF0E" w14:textId="77777777" w:rsidR="00B001A9" w:rsidRPr="00B001A9" w:rsidRDefault="00B001A9">
      <w:pPr>
        <w:pStyle w:val="TOC2"/>
        <w:tabs>
          <w:tab w:val="right" w:leader="dot" w:pos="8290"/>
        </w:tabs>
        <w:rPr>
          <w:b w:val="0"/>
          <w:noProof/>
          <w:sz w:val="24"/>
          <w:szCs w:val="24"/>
          <w:lang w:val="en-GB" w:eastAsia="ja-JP"/>
        </w:rPr>
      </w:pPr>
      <w:r w:rsidRPr="00B001A9">
        <w:rPr>
          <w:b w:val="0"/>
          <w:noProof/>
        </w:rPr>
        <w:t>Suurbritannia EL-ist lahkumise mõju EL-i teaduse ja innovatsioonile</w:t>
      </w:r>
      <w:r w:rsidRPr="00B001A9">
        <w:rPr>
          <w:b w:val="0"/>
          <w:noProof/>
        </w:rPr>
        <w:tab/>
      </w:r>
      <w:r w:rsidRPr="00B001A9">
        <w:rPr>
          <w:b w:val="0"/>
          <w:noProof/>
        </w:rPr>
        <w:fldChar w:fldCharType="begin"/>
      </w:r>
      <w:r w:rsidRPr="00B001A9">
        <w:rPr>
          <w:b w:val="0"/>
          <w:noProof/>
        </w:rPr>
        <w:instrText xml:space="preserve"> PAGEREF _Toc330106438 \h </w:instrText>
      </w:r>
      <w:r w:rsidRPr="00B001A9">
        <w:rPr>
          <w:b w:val="0"/>
          <w:noProof/>
        </w:rPr>
      </w:r>
      <w:r w:rsidRPr="00B001A9">
        <w:rPr>
          <w:b w:val="0"/>
          <w:noProof/>
        </w:rPr>
        <w:fldChar w:fldCharType="separate"/>
      </w:r>
      <w:r w:rsidRPr="00B001A9">
        <w:rPr>
          <w:b w:val="0"/>
          <w:noProof/>
        </w:rPr>
        <w:t>3</w:t>
      </w:r>
      <w:r w:rsidRPr="00B001A9">
        <w:rPr>
          <w:b w:val="0"/>
          <w:noProof/>
        </w:rPr>
        <w:fldChar w:fldCharType="end"/>
      </w:r>
    </w:p>
    <w:p w14:paraId="0B864147" w14:textId="77777777" w:rsidR="00B001A9" w:rsidRPr="00B001A9" w:rsidRDefault="00B001A9">
      <w:pPr>
        <w:pStyle w:val="TOC2"/>
        <w:tabs>
          <w:tab w:val="right" w:leader="dot" w:pos="8290"/>
        </w:tabs>
        <w:rPr>
          <w:b w:val="0"/>
          <w:noProof/>
          <w:sz w:val="24"/>
          <w:szCs w:val="24"/>
          <w:lang w:val="en-GB" w:eastAsia="ja-JP"/>
        </w:rPr>
      </w:pPr>
      <w:r w:rsidRPr="00B001A9">
        <w:rPr>
          <w:b w:val="0"/>
          <w:noProof/>
        </w:rPr>
        <w:t>Uus ülikoolide võrgustik</w:t>
      </w:r>
      <w:r w:rsidRPr="00B001A9">
        <w:rPr>
          <w:b w:val="0"/>
          <w:noProof/>
        </w:rPr>
        <w:tab/>
      </w:r>
      <w:r w:rsidRPr="00B001A9">
        <w:rPr>
          <w:b w:val="0"/>
          <w:noProof/>
        </w:rPr>
        <w:fldChar w:fldCharType="begin"/>
      </w:r>
      <w:r w:rsidRPr="00B001A9">
        <w:rPr>
          <w:b w:val="0"/>
          <w:noProof/>
        </w:rPr>
        <w:instrText xml:space="preserve"> PAGEREF _Toc330106439 \h </w:instrText>
      </w:r>
      <w:r w:rsidRPr="00B001A9">
        <w:rPr>
          <w:b w:val="0"/>
          <w:noProof/>
        </w:rPr>
      </w:r>
      <w:r w:rsidRPr="00B001A9">
        <w:rPr>
          <w:b w:val="0"/>
          <w:noProof/>
        </w:rPr>
        <w:fldChar w:fldCharType="separate"/>
      </w:r>
      <w:r w:rsidRPr="00B001A9">
        <w:rPr>
          <w:b w:val="0"/>
          <w:noProof/>
        </w:rPr>
        <w:t>3</w:t>
      </w:r>
      <w:r w:rsidRPr="00B001A9">
        <w:rPr>
          <w:b w:val="0"/>
          <w:noProof/>
        </w:rPr>
        <w:fldChar w:fldCharType="end"/>
      </w:r>
    </w:p>
    <w:p w14:paraId="3882F791" w14:textId="77777777" w:rsidR="00B001A9" w:rsidRPr="00B001A9" w:rsidRDefault="00B001A9">
      <w:pPr>
        <w:pStyle w:val="TOC2"/>
        <w:tabs>
          <w:tab w:val="right" w:leader="dot" w:pos="8290"/>
        </w:tabs>
        <w:rPr>
          <w:b w:val="0"/>
          <w:noProof/>
          <w:sz w:val="24"/>
          <w:szCs w:val="24"/>
          <w:lang w:val="en-GB" w:eastAsia="ja-JP"/>
        </w:rPr>
      </w:pPr>
      <w:r w:rsidRPr="00B001A9">
        <w:rPr>
          <w:b w:val="0"/>
          <w:noProof/>
        </w:rPr>
        <w:t>EL-i uus Hiinat käsitlev strateegia</w:t>
      </w:r>
      <w:r w:rsidRPr="00B001A9">
        <w:rPr>
          <w:b w:val="0"/>
          <w:noProof/>
        </w:rPr>
        <w:tab/>
      </w:r>
      <w:r w:rsidRPr="00B001A9">
        <w:rPr>
          <w:b w:val="0"/>
          <w:noProof/>
        </w:rPr>
        <w:fldChar w:fldCharType="begin"/>
      </w:r>
      <w:r w:rsidRPr="00B001A9">
        <w:rPr>
          <w:b w:val="0"/>
          <w:noProof/>
        </w:rPr>
        <w:instrText xml:space="preserve"> PAGEREF _Toc330106440 \h </w:instrText>
      </w:r>
      <w:r w:rsidRPr="00B001A9">
        <w:rPr>
          <w:b w:val="0"/>
          <w:noProof/>
        </w:rPr>
      </w:r>
      <w:r w:rsidRPr="00B001A9">
        <w:rPr>
          <w:b w:val="0"/>
          <w:noProof/>
        </w:rPr>
        <w:fldChar w:fldCharType="separate"/>
      </w:r>
      <w:r w:rsidRPr="00B001A9">
        <w:rPr>
          <w:b w:val="0"/>
          <w:noProof/>
        </w:rPr>
        <w:t>3</w:t>
      </w:r>
      <w:r w:rsidRPr="00B001A9">
        <w:rPr>
          <w:b w:val="0"/>
          <w:noProof/>
        </w:rPr>
        <w:fldChar w:fldCharType="end"/>
      </w:r>
    </w:p>
    <w:p w14:paraId="1360470D" w14:textId="77777777" w:rsidR="00B001A9" w:rsidRPr="00B001A9" w:rsidRDefault="00B001A9">
      <w:pPr>
        <w:pStyle w:val="TOC2"/>
        <w:tabs>
          <w:tab w:val="right" w:leader="dot" w:pos="8290"/>
        </w:tabs>
        <w:rPr>
          <w:b w:val="0"/>
          <w:noProof/>
          <w:sz w:val="24"/>
          <w:szCs w:val="24"/>
          <w:lang w:val="en-GB" w:eastAsia="ja-JP"/>
        </w:rPr>
      </w:pPr>
      <w:r w:rsidRPr="00B001A9">
        <w:rPr>
          <w:b w:val="0"/>
          <w:noProof/>
        </w:rPr>
        <w:t>Uus rändealaste uuringute partnerlus</w:t>
      </w:r>
      <w:r w:rsidRPr="00B001A9">
        <w:rPr>
          <w:b w:val="0"/>
          <w:noProof/>
        </w:rPr>
        <w:tab/>
      </w:r>
      <w:r w:rsidRPr="00B001A9">
        <w:rPr>
          <w:b w:val="0"/>
          <w:noProof/>
        </w:rPr>
        <w:fldChar w:fldCharType="begin"/>
      </w:r>
      <w:r w:rsidRPr="00B001A9">
        <w:rPr>
          <w:b w:val="0"/>
          <w:noProof/>
        </w:rPr>
        <w:instrText xml:space="preserve"> PAGEREF _Toc330106441 \h </w:instrText>
      </w:r>
      <w:r w:rsidRPr="00B001A9">
        <w:rPr>
          <w:b w:val="0"/>
          <w:noProof/>
        </w:rPr>
      </w:r>
      <w:r w:rsidRPr="00B001A9">
        <w:rPr>
          <w:b w:val="0"/>
          <w:noProof/>
        </w:rPr>
        <w:fldChar w:fldCharType="separate"/>
      </w:r>
      <w:r w:rsidRPr="00B001A9">
        <w:rPr>
          <w:b w:val="0"/>
          <w:noProof/>
        </w:rPr>
        <w:t>3</w:t>
      </w:r>
      <w:r w:rsidRPr="00B001A9">
        <w:rPr>
          <w:b w:val="0"/>
          <w:noProof/>
        </w:rPr>
        <w:fldChar w:fldCharType="end"/>
      </w:r>
    </w:p>
    <w:p w14:paraId="6F927B3C" w14:textId="77777777" w:rsidR="00B001A9" w:rsidRPr="00B001A9" w:rsidRDefault="00B001A9">
      <w:pPr>
        <w:pStyle w:val="TOC2"/>
        <w:tabs>
          <w:tab w:val="right" w:leader="dot" w:pos="8290"/>
        </w:tabs>
        <w:rPr>
          <w:b w:val="0"/>
          <w:noProof/>
          <w:sz w:val="24"/>
          <w:szCs w:val="24"/>
          <w:lang w:val="en-GB" w:eastAsia="ja-JP"/>
        </w:rPr>
      </w:pPr>
      <w:r w:rsidRPr="00B001A9">
        <w:rPr>
          <w:b w:val="0"/>
          <w:noProof/>
        </w:rPr>
        <w:t>EL-i ja Mehhiko ühine geotermilise energia uurimisprojekt</w:t>
      </w:r>
      <w:r w:rsidRPr="00B001A9">
        <w:rPr>
          <w:b w:val="0"/>
          <w:noProof/>
        </w:rPr>
        <w:tab/>
      </w:r>
      <w:r w:rsidRPr="00B001A9">
        <w:rPr>
          <w:b w:val="0"/>
          <w:noProof/>
        </w:rPr>
        <w:fldChar w:fldCharType="begin"/>
      </w:r>
      <w:r w:rsidRPr="00B001A9">
        <w:rPr>
          <w:b w:val="0"/>
          <w:noProof/>
        </w:rPr>
        <w:instrText xml:space="preserve"> PAGEREF _Toc330106442 \h </w:instrText>
      </w:r>
      <w:r w:rsidRPr="00B001A9">
        <w:rPr>
          <w:b w:val="0"/>
          <w:noProof/>
        </w:rPr>
      </w:r>
      <w:r w:rsidRPr="00B001A9">
        <w:rPr>
          <w:b w:val="0"/>
          <w:noProof/>
        </w:rPr>
        <w:fldChar w:fldCharType="separate"/>
      </w:r>
      <w:r w:rsidRPr="00B001A9">
        <w:rPr>
          <w:b w:val="0"/>
          <w:noProof/>
        </w:rPr>
        <w:t>4</w:t>
      </w:r>
      <w:r w:rsidRPr="00B001A9">
        <w:rPr>
          <w:b w:val="0"/>
          <w:noProof/>
        </w:rPr>
        <w:fldChar w:fldCharType="end"/>
      </w:r>
    </w:p>
    <w:p w14:paraId="618EB1DE"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Komisjoni uus veebipõhine soolise võrdõiguslikkuse nõustamisteenus ülikoolidele</w:t>
      </w:r>
      <w:r w:rsidRPr="00B001A9">
        <w:rPr>
          <w:b w:val="0"/>
          <w:noProof/>
        </w:rPr>
        <w:tab/>
      </w:r>
      <w:r w:rsidRPr="00B001A9">
        <w:rPr>
          <w:b w:val="0"/>
          <w:noProof/>
        </w:rPr>
        <w:fldChar w:fldCharType="begin"/>
      </w:r>
      <w:r w:rsidRPr="00B001A9">
        <w:rPr>
          <w:b w:val="0"/>
          <w:noProof/>
        </w:rPr>
        <w:instrText xml:space="preserve"> PAGEREF _Toc330106443 \h </w:instrText>
      </w:r>
      <w:r w:rsidRPr="00B001A9">
        <w:rPr>
          <w:b w:val="0"/>
          <w:noProof/>
        </w:rPr>
      </w:r>
      <w:r w:rsidRPr="00B001A9">
        <w:rPr>
          <w:b w:val="0"/>
          <w:noProof/>
        </w:rPr>
        <w:fldChar w:fldCharType="separate"/>
      </w:r>
      <w:r w:rsidRPr="00B001A9">
        <w:rPr>
          <w:b w:val="0"/>
          <w:noProof/>
        </w:rPr>
        <w:t>4</w:t>
      </w:r>
      <w:r w:rsidRPr="00B001A9">
        <w:rPr>
          <w:b w:val="0"/>
          <w:noProof/>
        </w:rPr>
        <w:fldChar w:fldCharType="end"/>
      </w:r>
    </w:p>
    <w:p w14:paraId="3A4A8244" w14:textId="77777777" w:rsidR="00B001A9" w:rsidRDefault="00B001A9">
      <w:pPr>
        <w:pStyle w:val="TOC1"/>
        <w:tabs>
          <w:tab w:val="right" w:leader="dot" w:pos="8290"/>
        </w:tabs>
        <w:rPr>
          <w:b w:val="0"/>
          <w:noProof/>
          <w:lang w:val="en-GB" w:eastAsia="ja-JP"/>
        </w:rPr>
      </w:pPr>
      <w:r>
        <w:rPr>
          <w:noProof/>
        </w:rPr>
        <w:t>Aruanded, analüüsid</w:t>
      </w:r>
      <w:r>
        <w:rPr>
          <w:noProof/>
        </w:rPr>
        <w:tab/>
      </w:r>
      <w:r>
        <w:rPr>
          <w:noProof/>
        </w:rPr>
        <w:fldChar w:fldCharType="begin"/>
      </w:r>
      <w:r>
        <w:rPr>
          <w:noProof/>
        </w:rPr>
        <w:instrText xml:space="preserve"> PAGEREF _Toc330106444 \h </w:instrText>
      </w:r>
      <w:r>
        <w:rPr>
          <w:noProof/>
        </w:rPr>
      </w:r>
      <w:r>
        <w:rPr>
          <w:noProof/>
        </w:rPr>
        <w:fldChar w:fldCharType="separate"/>
      </w:r>
      <w:r>
        <w:rPr>
          <w:noProof/>
        </w:rPr>
        <w:t>4</w:t>
      </w:r>
      <w:r>
        <w:rPr>
          <w:noProof/>
        </w:rPr>
        <w:fldChar w:fldCharType="end"/>
      </w:r>
    </w:p>
    <w:p w14:paraId="577444C4" w14:textId="77777777" w:rsidR="00B001A9" w:rsidRPr="00B001A9" w:rsidRDefault="00B001A9">
      <w:pPr>
        <w:pStyle w:val="TOC2"/>
        <w:tabs>
          <w:tab w:val="right" w:leader="dot" w:pos="8290"/>
        </w:tabs>
        <w:rPr>
          <w:b w:val="0"/>
          <w:noProof/>
          <w:sz w:val="24"/>
          <w:szCs w:val="24"/>
          <w:lang w:val="en-GB" w:eastAsia="ja-JP"/>
        </w:rPr>
      </w:pPr>
      <w:r w:rsidRPr="00B001A9">
        <w:rPr>
          <w:b w:val="0"/>
          <w:noProof/>
        </w:rPr>
        <w:t>Avatud teaduspilve kõrgetasemelise eksperdirühma esimene aruande eelnõu</w:t>
      </w:r>
      <w:r w:rsidRPr="00B001A9">
        <w:rPr>
          <w:b w:val="0"/>
          <w:noProof/>
        </w:rPr>
        <w:tab/>
      </w:r>
      <w:r w:rsidRPr="00B001A9">
        <w:rPr>
          <w:b w:val="0"/>
          <w:noProof/>
        </w:rPr>
        <w:fldChar w:fldCharType="begin"/>
      </w:r>
      <w:r w:rsidRPr="00B001A9">
        <w:rPr>
          <w:b w:val="0"/>
          <w:noProof/>
        </w:rPr>
        <w:instrText xml:space="preserve"> PAGEREF _Toc330106445 \h </w:instrText>
      </w:r>
      <w:r w:rsidRPr="00B001A9">
        <w:rPr>
          <w:b w:val="0"/>
          <w:noProof/>
        </w:rPr>
      </w:r>
      <w:r w:rsidRPr="00B001A9">
        <w:rPr>
          <w:b w:val="0"/>
          <w:noProof/>
        </w:rPr>
        <w:fldChar w:fldCharType="separate"/>
      </w:r>
      <w:r w:rsidRPr="00B001A9">
        <w:rPr>
          <w:b w:val="0"/>
          <w:noProof/>
        </w:rPr>
        <w:t>4</w:t>
      </w:r>
      <w:r w:rsidRPr="00B001A9">
        <w:rPr>
          <w:b w:val="0"/>
          <w:noProof/>
        </w:rPr>
        <w:fldChar w:fldCharType="end"/>
      </w:r>
    </w:p>
    <w:p w14:paraId="227EF9C8" w14:textId="77777777" w:rsidR="00B001A9" w:rsidRPr="00B001A9" w:rsidRDefault="00B001A9">
      <w:pPr>
        <w:pStyle w:val="TOC2"/>
        <w:tabs>
          <w:tab w:val="right" w:leader="dot" w:pos="8290"/>
        </w:tabs>
        <w:rPr>
          <w:b w:val="0"/>
          <w:noProof/>
          <w:sz w:val="24"/>
          <w:szCs w:val="24"/>
          <w:lang w:val="en-GB" w:eastAsia="ja-JP"/>
        </w:rPr>
      </w:pPr>
      <w:r w:rsidRPr="00B001A9">
        <w:rPr>
          <w:b w:val="0"/>
          <w:i/>
          <w:noProof/>
        </w:rPr>
        <w:t>Nature’</w:t>
      </w:r>
      <w:r w:rsidRPr="00B001A9">
        <w:rPr>
          <w:b w:val="0"/>
          <w:noProof/>
        </w:rPr>
        <w:t>i artikkel EL-i teadusrahastuse mõjust</w:t>
      </w:r>
      <w:r w:rsidRPr="00B001A9">
        <w:rPr>
          <w:b w:val="0"/>
          <w:noProof/>
        </w:rPr>
        <w:tab/>
      </w:r>
      <w:r w:rsidRPr="00B001A9">
        <w:rPr>
          <w:b w:val="0"/>
          <w:noProof/>
        </w:rPr>
        <w:fldChar w:fldCharType="begin"/>
      </w:r>
      <w:r w:rsidRPr="00B001A9">
        <w:rPr>
          <w:b w:val="0"/>
          <w:noProof/>
        </w:rPr>
        <w:instrText xml:space="preserve"> PAGEREF _Toc330106446 \h </w:instrText>
      </w:r>
      <w:r w:rsidRPr="00B001A9">
        <w:rPr>
          <w:b w:val="0"/>
          <w:noProof/>
        </w:rPr>
      </w:r>
      <w:r w:rsidRPr="00B001A9">
        <w:rPr>
          <w:b w:val="0"/>
          <w:noProof/>
        </w:rPr>
        <w:fldChar w:fldCharType="separate"/>
      </w:r>
      <w:r w:rsidRPr="00B001A9">
        <w:rPr>
          <w:b w:val="0"/>
          <w:noProof/>
        </w:rPr>
        <w:t>4</w:t>
      </w:r>
      <w:r w:rsidRPr="00B001A9">
        <w:rPr>
          <w:b w:val="0"/>
          <w:noProof/>
        </w:rPr>
        <w:fldChar w:fldCharType="end"/>
      </w:r>
    </w:p>
    <w:p w14:paraId="7C413AAE" w14:textId="77777777" w:rsidR="00B001A9" w:rsidRPr="00B001A9" w:rsidRDefault="00B001A9">
      <w:pPr>
        <w:pStyle w:val="TOC2"/>
        <w:tabs>
          <w:tab w:val="right" w:leader="dot" w:pos="8290"/>
        </w:tabs>
        <w:rPr>
          <w:b w:val="0"/>
          <w:noProof/>
          <w:sz w:val="24"/>
          <w:szCs w:val="24"/>
          <w:lang w:val="en-GB" w:eastAsia="ja-JP"/>
        </w:rPr>
      </w:pPr>
      <w:r w:rsidRPr="00B001A9">
        <w:rPr>
          <w:b w:val="0"/>
          <w:noProof/>
        </w:rPr>
        <w:t>Raport 7. raamprogrammi ja Horisont 2020 kasutajasõbralikkusest</w:t>
      </w:r>
      <w:r w:rsidRPr="00B001A9">
        <w:rPr>
          <w:b w:val="0"/>
          <w:noProof/>
        </w:rPr>
        <w:tab/>
      </w:r>
      <w:r w:rsidRPr="00B001A9">
        <w:rPr>
          <w:b w:val="0"/>
          <w:noProof/>
        </w:rPr>
        <w:fldChar w:fldCharType="begin"/>
      </w:r>
      <w:r w:rsidRPr="00B001A9">
        <w:rPr>
          <w:b w:val="0"/>
          <w:noProof/>
        </w:rPr>
        <w:instrText xml:space="preserve"> PAGEREF _Toc330106447 \h </w:instrText>
      </w:r>
      <w:r w:rsidRPr="00B001A9">
        <w:rPr>
          <w:b w:val="0"/>
          <w:noProof/>
        </w:rPr>
      </w:r>
      <w:r w:rsidRPr="00B001A9">
        <w:rPr>
          <w:b w:val="0"/>
          <w:noProof/>
        </w:rPr>
        <w:fldChar w:fldCharType="separate"/>
      </w:r>
      <w:r w:rsidRPr="00B001A9">
        <w:rPr>
          <w:b w:val="0"/>
          <w:noProof/>
        </w:rPr>
        <w:t>5</w:t>
      </w:r>
      <w:r w:rsidRPr="00B001A9">
        <w:rPr>
          <w:b w:val="0"/>
          <w:noProof/>
        </w:rPr>
        <w:fldChar w:fldCharType="end"/>
      </w:r>
    </w:p>
    <w:p w14:paraId="6D751AEC" w14:textId="77777777" w:rsidR="00B001A9" w:rsidRPr="00B001A9" w:rsidRDefault="00B001A9">
      <w:pPr>
        <w:pStyle w:val="TOC2"/>
        <w:tabs>
          <w:tab w:val="right" w:leader="dot" w:pos="8290"/>
        </w:tabs>
        <w:rPr>
          <w:b w:val="0"/>
          <w:noProof/>
          <w:sz w:val="24"/>
          <w:szCs w:val="24"/>
          <w:lang w:val="en-GB" w:eastAsia="ja-JP"/>
        </w:rPr>
      </w:pPr>
      <w:r w:rsidRPr="00B001A9">
        <w:rPr>
          <w:b w:val="0"/>
          <w:noProof/>
        </w:rPr>
        <w:t>Raport Horisont 2020 matemaatika konsultatsioonist</w:t>
      </w:r>
      <w:r w:rsidRPr="00B001A9">
        <w:rPr>
          <w:b w:val="0"/>
          <w:noProof/>
        </w:rPr>
        <w:tab/>
      </w:r>
      <w:r w:rsidRPr="00B001A9">
        <w:rPr>
          <w:b w:val="0"/>
          <w:noProof/>
        </w:rPr>
        <w:fldChar w:fldCharType="begin"/>
      </w:r>
      <w:r w:rsidRPr="00B001A9">
        <w:rPr>
          <w:b w:val="0"/>
          <w:noProof/>
        </w:rPr>
        <w:instrText xml:space="preserve"> PAGEREF _Toc330106448 \h </w:instrText>
      </w:r>
      <w:r w:rsidRPr="00B001A9">
        <w:rPr>
          <w:b w:val="0"/>
          <w:noProof/>
        </w:rPr>
      </w:r>
      <w:r w:rsidRPr="00B001A9">
        <w:rPr>
          <w:b w:val="0"/>
          <w:noProof/>
        </w:rPr>
        <w:fldChar w:fldCharType="separate"/>
      </w:r>
      <w:r w:rsidRPr="00B001A9">
        <w:rPr>
          <w:b w:val="0"/>
          <w:noProof/>
        </w:rPr>
        <w:t>5</w:t>
      </w:r>
      <w:r w:rsidRPr="00B001A9">
        <w:rPr>
          <w:b w:val="0"/>
          <w:noProof/>
        </w:rPr>
        <w:fldChar w:fldCharType="end"/>
      </w:r>
    </w:p>
    <w:p w14:paraId="4096B75C"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Parlamendi raport EL-i innovatsioonipoliitikast</w:t>
      </w:r>
      <w:r w:rsidRPr="00B001A9">
        <w:rPr>
          <w:b w:val="0"/>
          <w:noProof/>
        </w:rPr>
        <w:tab/>
      </w:r>
      <w:r w:rsidRPr="00B001A9">
        <w:rPr>
          <w:b w:val="0"/>
          <w:noProof/>
        </w:rPr>
        <w:fldChar w:fldCharType="begin"/>
      </w:r>
      <w:r w:rsidRPr="00B001A9">
        <w:rPr>
          <w:b w:val="0"/>
          <w:noProof/>
        </w:rPr>
        <w:instrText xml:space="preserve"> PAGEREF _Toc330106449 \h </w:instrText>
      </w:r>
      <w:r w:rsidRPr="00B001A9">
        <w:rPr>
          <w:b w:val="0"/>
          <w:noProof/>
        </w:rPr>
      </w:r>
      <w:r w:rsidRPr="00B001A9">
        <w:rPr>
          <w:b w:val="0"/>
          <w:noProof/>
        </w:rPr>
        <w:fldChar w:fldCharType="separate"/>
      </w:r>
      <w:r w:rsidRPr="00B001A9">
        <w:rPr>
          <w:b w:val="0"/>
          <w:noProof/>
        </w:rPr>
        <w:t>5</w:t>
      </w:r>
      <w:r w:rsidRPr="00B001A9">
        <w:rPr>
          <w:b w:val="0"/>
          <w:noProof/>
        </w:rPr>
        <w:fldChar w:fldCharType="end"/>
      </w:r>
    </w:p>
    <w:p w14:paraId="7105265A" w14:textId="77777777" w:rsidR="00B001A9" w:rsidRDefault="00B001A9">
      <w:pPr>
        <w:pStyle w:val="TOC2"/>
        <w:tabs>
          <w:tab w:val="right" w:leader="dot" w:pos="8290"/>
        </w:tabs>
        <w:rPr>
          <w:b w:val="0"/>
          <w:noProof/>
          <w:sz w:val="24"/>
          <w:szCs w:val="24"/>
          <w:lang w:val="en-GB" w:eastAsia="ja-JP"/>
        </w:rPr>
      </w:pPr>
      <w:r w:rsidRPr="00B001A9">
        <w:rPr>
          <w:b w:val="0"/>
          <w:noProof/>
        </w:rPr>
        <w:t>Euroopa Parlamendi uuring “</w:t>
      </w:r>
      <w:r w:rsidRPr="00B001A9">
        <w:rPr>
          <w:b w:val="0"/>
          <w:i/>
          <w:noProof/>
        </w:rPr>
        <w:t>Cost of Non-Europe</w:t>
      </w:r>
      <w:r w:rsidRPr="00B001A9">
        <w:rPr>
          <w:b w:val="0"/>
          <w:noProof/>
        </w:rPr>
        <w:t>”</w:t>
      </w:r>
      <w:r w:rsidRPr="00B001A9">
        <w:rPr>
          <w:b w:val="0"/>
          <w:noProof/>
        </w:rPr>
        <w:tab/>
      </w:r>
      <w:r w:rsidRPr="00B001A9">
        <w:rPr>
          <w:b w:val="0"/>
          <w:noProof/>
        </w:rPr>
        <w:fldChar w:fldCharType="begin"/>
      </w:r>
      <w:r w:rsidRPr="00B001A9">
        <w:rPr>
          <w:b w:val="0"/>
          <w:noProof/>
        </w:rPr>
        <w:instrText xml:space="preserve"> PAGEREF _Toc330106450 \h </w:instrText>
      </w:r>
      <w:r w:rsidRPr="00B001A9">
        <w:rPr>
          <w:b w:val="0"/>
          <w:noProof/>
        </w:rPr>
      </w:r>
      <w:r w:rsidRPr="00B001A9">
        <w:rPr>
          <w:b w:val="0"/>
          <w:noProof/>
        </w:rPr>
        <w:fldChar w:fldCharType="separate"/>
      </w:r>
      <w:r w:rsidRPr="00B001A9">
        <w:rPr>
          <w:b w:val="0"/>
          <w:noProof/>
        </w:rPr>
        <w:t>5</w:t>
      </w:r>
      <w:r w:rsidRPr="00B001A9">
        <w:rPr>
          <w:b w:val="0"/>
          <w:noProof/>
        </w:rPr>
        <w:fldChar w:fldCharType="end"/>
      </w:r>
    </w:p>
    <w:p w14:paraId="6D9D340B" w14:textId="77777777" w:rsidR="00B001A9" w:rsidRDefault="00B001A9">
      <w:pPr>
        <w:pStyle w:val="TOC1"/>
        <w:tabs>
          <w:tab w:val="right" w:leader="dot" w:pos="8290"/>
        </w:tabs>
        <w:rPr>
          <w:b w:val="0"/>
          <w:noProof/>
          <w:lang w:val="en-GB" w:eastAsia="ja-JP"/>
        </w:rPr>
      </w:pPr>
      <w:r>
        <w:rPr>
          <w:noProof/>
        </w:rPr>
        <w:t>Konkursid</w:t>
      </w:r>
      <w:r>
        <w:rPr>
          <w:noProof/>
        </w:rPr>
        <w:tab/>
      </w:r>
      <w:r>
        <w:rPr>
          <w:noProof/>
        </w:rPr>
        <w:fldChar w:fldCharType="begin"/>
      </w:r>
      <w:r>
        <w:rPr>
          <w:noProof/>
        </w:rPr>
        <w:instrText xml:space="preserve"> PAGEREF _Toc330106451 \h </w:instrText>
      </w:r>
      <w:r>
        <w:rPr>
          <w:noProof/>
        </w:rPr>
      </w:r>
      <w:r>
        <w:rPr>
          <w:noProof/>
        </w:rPr>
        <w:fldChar w:fldCharType="separate"/>
      </w:r>
      <w:r>
        <w:rPr>
          <w:noProof/>
        </w:rPr>
        <w:t>5</w:t>
      </w:r>
      <w:r>
        <w:rPr>
          <w:noProof/>
        </w:rPr>
        <w:fldChar w:fldCharType="end"/>
      </w:r>
    </w:p>
    <w:p w14:paraId="42E272D2" w14:textId="77777777" w:rsidR="00B001A9" w:rsidRPr="00B001A9" w:rsidRDefault="00B001A9">
      <w:pPr>
        <w:pStyle w:val="TOC2"/>
        <w:tabs>
          <w:tab w:val="right" w:leader="dot" w:pos="8290"/>
        </w:tabs>
        <w:rPr>
          <w:b w:val="0"/>
          <w:noProof/>
          <w:sz w:val="24"/>
          <w:szCs w:val="24"/>
          <w:lang w:val="en-GB" w:eastAsia="ja-JP"/>
        </w:rPr>
      </w:pPr>
      <w:r w:rsidRPr="00B001A9">
        <w:rPr>
          <w:b w:val="0"/>
          <w:noProof/>
        </w:rPr>
        <w:t xml:space="preserve">Euroopa Komisjoni </w:t>
      </w:r>
      <w:r w:rsidRPr="00B001A9">
        <w:rPr>
          <w:b w:val="0"/>
          <w:i/>
          <w:noProof/>
        </w:rPr>
        <w:t xml:space="preserve">Innovation Deals </w:t>
      </w:r>
      <w:r w:rsidRPr="00B001A9">
        <w:rPr>
          <w:b w:val="0"/>
          <w:noProof/>
        </w:rPr>
        <w:t>osaluskutse</w:t>
      </w:r>
      <w:r w:rsidRPr="00B001A9">
        <w:rPr>
          <w:b w:val="0"/>
          <w:noProof/>
        </w:rPr>
        <w:tab/>
      </w:r>
      <w:r w:rsidRPr="00B001A9">
        <w:rPr>
          <w:b w:val="0"/>
          <w:noProof/>
        </w:rPr>
        <w:fldChar w:fldCharType="begin"/>
      </w:r>
      <w:r w:rsidRPr="00B001A9">
        <w:rPr>
          <w:b w:val="0"/>
          <w:noProof/>
        </w:rPr>
        <w:instrText xml:space="preserve"> PAGEREF _Toc330106452 \h </w:instrText>
      </w:r>
      <w:r w:rsidRPr="00B001A9">
        <w:rPr>
          <w:b w:val="0"/>
          <w:noProof/>
        </w:rPr>
      </w:r>
      <w:r w:rsidRPr="00B001A9">
        <w:rPr>
          <w:b w:val="0"/>
          <w:noProof/>
        </w:rPr>
        <w:fldChar w:fldCharType="separate"/>
      </w:r>
      <w:r w:rsidRPr="00B001A9">
        <w:rPr>
          <w:b w:val="0"/>
          <w:noProof/>
        </w:rPr>
        <w:t>6</w:t>
      </w:r>
      <w:r w:rsidRPr="00B001A9">
        <w:rPr>
          <w:b w:val="0"/>
          <w:noProof/>
        </w:rPr>
        <w:fldChar w:fldCharType="end"/>
      </w:r>
    </w:p>
    <w:p w14:paraId="045BC0A1" w14:textId="77777777" w:rsidR="00B001A9" w:rsidRDefault="00B001A9">
      <w:pPr>
        <w:pStyle w:val="TOC1"/>
        <w:tabs>
          <w:tab w:val="right" w:leader="dot" w:pos="8290"/>
        </w:tabs>
        <w:rPr>
          <w:b w:val="0"/>
          <w:noProof/>
          <w:lang w:val="en-GB" w:eastAsia="ja-JP"/>
        </w:rPr>
      </w:pPr>
      <w:r>
        <w:rPr>
          <w:noProof/>
        </w:rPr>
        <w:t>Innovatsioon</w:t>
      </w:r>
      <w:r>
        <w:rPr>
          <w:noProof/>
        </w:rPr>
        <w:tab/>
      </w:r>
      <w:r>
        <w:rPr>
          <w:noProof/>
        </w:rPr>
        <w:fldChar w:fldCharType="begin"/>
      </w:r>
      <w:r>
        <w:rPr>
          <w:noProof/>
        </w:rPr>
        <w:instrText xml:space="preserve"> PAGEREF _Toc330106453 \h </w:instrText>
      </w:r>
      <w:r>
        <w:rPr>
          <w:noProof/>
        </w:rPr>
      </w:r>
      <w:r>
        <w:rPr>
          <w:noProof/>
        </w:rPr>
        <w:fldChar w:fldCharType="separate"/>
      </w:r>
      <w:r>
        <w:rPr>
          <w:noProof/>
        </w:rPr>
        <w:t>6</w:t>
      </w:r>
      <w:r>
        <w:rPr>
          <w:noProof/>
        </w:rPr>
        <w:fldChar w:fldCharType="end"/>
      </w:r>
    </w:p>
    <w:p w14:paraId="4EF987E6"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Komisjoni innovatsiooni raport</w:t>
      </w:r>
      <w:r w:rsidRPr="00B001A9">
        <w:rPr>
          <w:b w:val="0"/>
          <w:noProof/>
        </w:rPr>
        <w:tab/>
      </w:r>
      <w:r w:rsidRPr="00B001A9">
        <w:rPr>
          <w:b w:val="0"/>
          <w:noProof/>
        </w:rPr>
        <w:fldChar w:fldCharType="begin"/>
      </w:r>
      <w:r w:rsidRPr="00B001A9">
        <w:rPr>
          <w:b w:val="0"/>
          <w:noProof/>
        </w:rPr>
        <w:instrText xml:space="preserve"> PAGEREF _Toc330106454 \h </w:instrText>
      </w:r>
      <w:r w:rsidRPr="00B001A9">
        <w:rPr>
          <w:b w:val="0"/>
          <w:noProof/>
        </w:rPr>
      </w:r>
      <w:r w:rsidRPr="00B001A9">
        <w:rPr>
          <w:b w:val="0"/>
          <w:noProof/>
        </w:rPr>
        <w:fldChar w:fldCharType="separate"/>
      </w:r>
      <w:r w:rsidRPr="00B001A9">
        <w:rPr>
          <w:b w:val="0"/>
          <w:noProof/>
        </w:rPr>
        <w:t>6</w:t>
      </w:r>
      <w:r w:rsidRPr="00B001A9">
        <w:rPr>
          <w:b w:val="0"/>
          <w:noProof/>
        </w:rPr>
        <w:fldChar w:fldCharType="end"/>
      </w:r>
    </w:p>
    <w:p w14:paraId="55DF7139" w14:textId="77777777" w:rsidR="00B001A9" w:rsidRPr="00B001A9" w:rsidRDefault="00B001A9">
      <w:pPr>
        <w:pStyle w:val="TOC2"/>
        <w:tabs>
          <w:tab w:val="right" w:leader="dot" w:pos="8290"/>
        </w:tabs>
        <w:rPr>
          <w:b w:val="0"/>
          <w:noProof/>
          <w:sz w:val="24"/>
          <w:szCs w:val="24"/>
          <w:lang w:val="en-GB" w:eastAsia="ja-JP"/>
        </w:rPr>
      </w:pPr>
      <w:r w:rsidRPr="00B001A9">
        <w:rPr>
          <w:b w:val="0"/>
          <w:noProof/>
        </w:rPr>
        <w:t>Euroopa teadusruumi komitee (ERAC) valmistab ette arvamust Euroopa Innovatsiooni Nõukogust</w:t>
      </w:r>
      <w:r w:rsidRPr="00B001A9">
        <w:rPr>
          <w:b w:val="0"/>
          <w:noProof/>
        </w:rPr>
        <w:tab/>
      </w:r>
      <w:r w:rsidRPr="00B001A9">
        <w:rPr>
          <w:b w:val="0"/>
          <w:noProof/>
        </w:rPr>
        <w:fldChar w:fldCharType="begin"/>
      </w:r>
      <w:r w:rsidRPr="00B001A9">
        <w:rPr>
          <w:b w:val="0"/>
          <w:noProof/>
        </w:rPr>
        <w:instrText xml:space="preserve"> PAGEREF _Toc330106455 \h </w:instrText>
      </w:r>
      <w:r w:rsidRPr="00B001A9">
        <w:rPr>
          <w:b w:val="0"/>
          <w:noProof/>
        </w:rPr>
      </w:r>
      <w:r w:rsidRPr="00B001A9">
        <w:rPr>
          <w:b w:val="0"/>
          <w:noProof/>
        </w:rPr>
        <w:fldChar w:fldCharType="separate"/>
      </w:r>
      <w:r w:rsidRPr="00B001A9">
        <w:rPr>
          <w:b w:val="0"/>
          <w:noProof/>
        </w:rPr>
        <w:t>6</w:t>
      </w:r>
      <w:r w:rsidRPr="00B001A9">
        <w:rPr>
          <w:b w:val="0"/>
          <w:noProof/>
        </w:rPr>
        <w:fldChar w:fldCharType="end"/>
      </w:r>
    </w:p>
    <w:p w14:paraId="78077C68" w14:textId="77777777" w:rsidR="00B001A9" w:rsidRPr="00B001A9" w:rsidRDefault="00B001A9">
      <w:pPr>
        <w:pStyle w:val="TOC2"/>
        <w:tabs>
          <w:tab w:val="right" w:leader="dot" w:pos="8290"/>
        </w:tabs>
        <w:rPr>
          <w:b w:val="0"/>
          <w:noProof/>
          <w:sz w:val="24"/>
          <w:szCs w:val="24"/>
          <w:lang w:val="en-GB" w:eastAsia="ja-JP"/>
        </w:rPr>
      </w:pPr>
      <w:r w:rsidRPr="00B001A9">
        <w:rPr>
          <w:b w:val="0"/>
          <w:noProof/>
        </w:rPr>
        <w:lastRenderedPageBreak/>
        <w:t>EL-i liitumine globaalse puhta energia innovatsiooni algatusega</w:t>
      </w:r>
      <w:r w:rsidRPr="00B001A9">
        <w:rPr>
          <w:b w:val="0"/>
          <w:noProof/>
        </w:rPr>
        <w:tab/>
      </w:r>
      <w:r w:rsidRPr="00B001A9">
        <w:rPr>
          <w:b w:val="0"/>
          <w:noProof/>
        </w:rPr>
        <w:fldChar w:fldCharType="begin"/>
      </w:r>
      <w:r w:rsidRPr="00B001A9">
        <w:rPr>
          <w:b w:val="0"/>
          <w:noProof/>
        </w:rPr>
        <w:instrText xml:space="preserve"> PAGEREF _Toc330106456 \h </w:instrText>
      </w:r>
      <w:r w:rsidRPr="00B001A9">
        <w:rPr>
          <w:b w:val="0"/>
          <w:noProof/>
        </w:rPr>
      </w:r>
      <w:r w:rsidRPr="00B001A9">
        <w:rPr>
          <w:b w:val="0"/>
          <w:noProof/>
        </w:rPr>
        <w:fldChar w:fldCharType="separate"/>
      </w:r>
      <w:r w:rsidRPr="00B001A9">
        <w:rPr>
          <w:b w:val="0"/>
          <w:noProof/>
        </w:rPr>
        <w:t>6</w:t>
      </w:r>
      <w:r w:rsidRPr="00B001A9">
        <w:rPr>
          <w:b w:val="0"/>
          <w:noProof/>
        </w:rPr>
        <w:fldChar w:fldCharType="end"/>
      </w:r>
    </w:p>
    <w:p w14:paraId="38176378" w14:textId="04DBDAD4" w:rsidR="00E43D36" w:rsidRDefault="00C12E7C" w:rsidP="00B91A0D">
      <w:pPr>
        <w:jc w:val="both"/>
      </w:pPr>
      <w:r>
        <w:fldChar w:fldCharType="end"/>
      </w:r>
    </w:p>
    <w:p w14:paraId="01200E5B" w14:textId="45D36E1C" w:rsidR="00A15C2B" w:rsidRDefault="00A15C2B" w:rsidP="00C12E7C">
      <w:pPr>
        <w:pStyle w:val="Heading1"/>
      </w:pPr>
      <w:bookmarkStart w:id="1" w:name="_Toc330106434"/>
      <w:r w:rsidRPr="00A15C2B">
        <w:t>Üldised teadusuudised</w:t>
      </w:r>
      <w:bookmarkEnd w:id="1"/>
    </w:p>
    <w:p w14:paraId="43B5EC37" w14:textId="77777777" w:rsidR="00A751B0" w:rsidRDefault="00A751B0" w:rsidP="00A751B0">
      <w:pPr>
        <w:jc w:val="both"/>
        <w:rPr>
          <w:b/>
        </w:rPr>
      </w:pPr>
    </w:p>
    <w:p w14:paraId="4D20CDE8" w14:textId="77777777" w:rsidR="00A751B0" w:rsidRDefault="00A751B0" w:rsidP="00C12E7C">
      <w:pPr>
        <w:pStyle w:val="Heading2"/>
      </w:pPr>
      <w:bookmarkStart w:id="2" w:name="_Toc330106435"/>
      <w:r w:rsidRPr="00D0411E">
        <w:t>Slovakkia – uus EL-i Nõukogu eesistuja</w:t>
      </w:r>
      <w:bookmarkEnd w:id="2"/>
    </w:p>
    <w:p w14:paraId="7E881D56" w14:textId="77777777" w:rsidR="00A751B0" w:rsidRDefault="00A751B0" w:rsidP="00A751B0">
      <w:pPr>
        <w:jc w:val="both"/>
      </w:pPr>
      <w:r>
        <w:t>1. juulil 2016 võttis Slovakkia Hollandilt üle EL-i Nõukogu eesistumise. Teaduse ja innovatsiooni valdkonnas keskendub Slovakkia eesistumine Euroopas esinevale lõhele, kuna vähem edukate Euroopa piirkondade osakaal Horisont 2020 rahastuse saamisel väheneb. Eesistumise raames korraldatakse sel teemal konverents 23. novembril 2016. Samuti tegeletakse Horisont 2020 ja mitmeaastase finantsraamistiku vahehindamiste ettevalmistusega, mis on  olulised, kuna nad määravad järgmise raamprogrammi põhielemendid. Eesistumise raames viiakse veel läbi mitmeid kõrgetasemelisi kohtumisi Euroopa Innovatsiooni Nõukogu teemal ning algatakse arutelu noorte teadlaste teemal ja kuidas arendada meetmeid, mis toetaksid akadeemilist karjääri.</w:t>
      </w:r>
    </w:p>
    <w:p w14:paraId="46DA6733" w14:textId="77777777" w:rsidR="00A751B0" w:rsidRDefault="00A751B0" w:rsidP="00A751B0">
      <w:pPr>
        <w:jc w:val="both"/>
      </w:pPr>
      <w:r>
        <w:t xml:space="preserve">Huvilised võivad tutvuda Slovakkia eesitumise </w:t>
      </w:r>
      <w:hyperlink r:id="rId7" w:history="1">
        <w:r w:rsidRPr="00D0411E">
          <w:rPr>
            <w:rStyle w:val="Hyperlink"/>
          </w:rPr>
          <w:t>kodulehe</w:t>
        </w:r>
      </w:hyperlink>
      <w:r>
        <w:t xml:space="preserve"> ja SwissCore’i </w:t>
      </w:r>
      <w:hyperlink r:id="rId8" w:history="1">
        <w:r w:rsidRPr="00D0411E">
          <w:rPr>
            <w:rStyle w:val="Hyperlink"/>
          </w:rPr>
          <w:t>uudisega</w:t>
        </w:r>
      </w:hyperlink>
      <w:r>
        <w:t>.</w:t>
      </w:r>
    </w:p>
    <w:p w14:paraId="10AA07BD" w14:textId="77777777" w:rsidR="00A751B0" w:rsidRDefault="00A751B0" w:rsidP="00A751B0">
      <w:pPr>
        <w:jc w:val="both"/>
        <w:rPr>
          <w:rFonts w:cs="Times New Roman"/>
          <w:b/>
        </w:rPr>
      </w:pPr>
    </w:p>
    <w:p w14:paraId="2F63570C" w14:textId="77777777" w:rsidR="00A751B0" w:rsidRPr="00317CFC" w:rsidRDefault="00A751B0" w:rsidP="00C12E7C">
      <w:pPr>
        <w:pStyle w:val="Heading2"/>
      </w:pPr>
      <w:bookmarkStart w:id="3" w:name="_Toc330106436"/>
      <w:r w:rsidRPr="008F4AFD">
        <w:t>Euroopa avatud teadus</w:t>
      </w:r>
      <w:bookmarkEnd w:id="3"/>
    </w:p>
    <w:p w14:paraId="110F34B0" w14:textId="77777777" w:rsidR="00A751B0" w:rsidRPr="008F4AFD" w:rsidRDefault="00A751B0" w:rsidP="00A751B0">
      <w:pPr>
        <w:jc w:val="both"/>
        <w:rPr>
          <w:rFonts w:cs="Times New Roman"/>
        </w:rPr>
      </w:pPr>
      <w:r w:rsidRPr="008F4AFD">
        <w:rPr>
          <w:rFonts w:cs="Times New Roman"/>
        </w:rPr>
        <w:t xml:space="preserve">Volinik Moedas teatas 27. mail toimunud konkurentsivõime nõukogul uued avatud teaduse poliitikaplatvormi (ingl. </w:t>
      </w:r>
      <w:r w:rsidRPr="008F4AFD">
        <w:rPr>
          <w:rFonts w:cs="Times New Roman"/>
          <w:i/>
        </w:rPr>
        <w:t>Open Science Policy Platform</w:t>
      </w:r>
      <w:r w:rsidRPr="008F4AFD">
        <w:rPr>
          <w:rFonts w:cs="Times New Roman"/>
        </w:rPr>
        <w:t xml:space="preserve">) </w:t>
      </w:r>
      <w:hyperlink r:id="rId9" w:anchor="view=fit&amp;pagemode=none" w:history="1">
        <w:r w:rsidRPr="008F4AFD">
          <w:rPr>
            <w:rStyle w:val="Hyperlink"/>
            <w:rFonts w:cs="Times New Roman"/>
          </w:rPr>
          <w:t>liikmed</w:t>
        </w:r>
      </w:hyperlink>
      <w:r w:rsidRPr="008F4AFD">
        <w:rPr>
          <w:rFonts w:cs="Times New Roman"/>
        </w:rPr>
        <w:t xml:space="preserve"> ja informeeris liikmesriike poliitikaplatvormi rollist Euroopa avatud teaduse poliitika tegevuskava edasi arendamisel. Platvormi eesmärk on anda nõu Euroopa avatud teaduse poliitika arendamises ja rakendamises. Rühm koosneb kõrgetasemelistest esindajatest erinevatest Euroopa (avatud) teaduse sidusrühmadest.</w:t>
      </w:r>
    </w:p>
    <w:p w14:paraId="0F6508CD" w14:textId="77777777" w:rsidR="00A751B0" w:rsidRPr="008F4AFD" w:rsidRDefault="00A751B0" w:rsidP="00A751B0">
      <w:pPr>
        <w:jc w:val="both"/>
        <w:rPr>
          <w:rFonts w:cs="Times New Roman"/>
        </w:rPr>
      </w:pPr>
      <w:r w:rsidRPr="008F4AFD">
        <w:rPr>
          <w:rFonts w:cs="Times New Roman"/>
        </w:rPr>
        <w:t xml:space="preserve">Euroopa Komisjon avaldas mais avatud teaduse teemalise </w:t>
      </w:r>
      <w:hyperlink r:id="rId10" w:history="1">
        <w:r w:rsidRPr="008F4AFD">
          <w:rPr>
            <w:rStyle w:val="Hyperlink"/>
            <w:rFonts w:cs="Times New Roman"/>
          </w:rPr>
          <w:t>raamatu</w:t>
        </w:r>
      </w:hyperlink>
      <w:r w:rsidRPr="008F4AFD">
        <w:rPr>
          <w:rFonts w:cs="Times New Roman"/>
        </w:rPr>
        <w:t xml:space="preserve"> “Avatud innovatsioon, avatud teadus, avatud maailmale – Euroopa vision” (ingl. </w:t>
      </w:r>
      <w:r w:rsidRPr="008F4AFD">
        <w:rPr>
          <w:rFonts w:cs="Times New Roman"/>
          <w:i/>
        </w:rPr>
        <w:t>Open Innovation, Open Science, Open to the World – a vision for Europe</w:t>
      </w:r>
      <w:r w:rsidRPr="008F4AFD">
        <w:rPr>
          <w:rFonts w:cs="Times New Roman"/>
        </w:rPr>
        <w:t xml:space="preserve">), mis toob välja nende teemade peamised kontseptuaalsed teadmised ja tõstab esile tegevused, mis leivad juba aset või on ettevalmistamisel. Raamatuga loodetakse, et kirjeldatud ideed ja algatused stimuleerivad neid, kes on on huvitatud Euroopa teadusuuringutest ja innovatsioonist, julgustab arutelu ning viib uute ideedeni sellest, mida EL peaks tegema, mida ei tohiks teha ning mida peaks tegema teisiti. Huvilised võivad tutvuda Euroopa Komisjoni </w:t>
      </w:r>
      <w:hyperlink r:id="rId11" w:history="1">
        <w:r w:rsidRPr="008F4AFD">
          <w:rPr>
            <w:rStyle w:val="Hyperlink"/>
            <w:rFonts w:cs="Times New Roman"/>
          </w:rPr>
          <w:t>uudisega</w:t>
        </w:r>
      </w:hyperlink>
      <w:r w:rsidRPr="008F4AFD">
        <w:rPr>
          <w:rFonts w:cs="Times New Roman"/>
        </w:rPr>
        <w:t>.</w:t>
      </w:r>
    </w:p>
    <w:p w14:paraId="320F512D" w14:textId="77777777" w:rsidR="00A751B0" w:rsidRDefault="00A751B0" w:rsidP="00A751B0">
      <w:pPr>
        <w:jc w:val="both"/>
        <w:rPr>
          <w:rFonts w:cs="Times New Roman"/>
        </w:rPr>
      </w:pPr>
      <w:r>
        <w:rPr>
          <w:rFonts w:cs="Times New Roman"/>
        </w:rPr>
        <w:lastRenderedPageBreak/>
        <w:t xml:space="preserve">Euroopa Komisjon on andnud välja </w:t>
      </w:r>
      <w:hyperlink r:id="rId12" w:history="1">
        <w:r w:rsidRPr="00681DEF">
          <w:rPr>
            <w:rStyle w:val="Hyperlink"/>
            <w:rFonts w:cs="Times New Roman"/>
          </w:rPr>
          <w:t>raporti</w:t>
        </w:r>
      </w:hyperlink>
      <w:r>
        <w:rPr>
          <w:rFonts w:cs="Times New Roman"/>
        </w:rPr>
        <w:t xml:space="preserve"> EL-i tulemuslikkusest teaduses ja innovatsioonis “</w:t>
      </w:r>
      <w:r>
        <w:rPr>
          <w:rFonts w:cs="Times New Roman"/>
          <w:i/>
        </w:rPr>
        <w:t xml:space="preserve">Science, research and innovation performance of the EU – A contribution to the open innovation, open science, open to the world agenda”. </w:t>
      </w:r>
      <w:r>
        <w:rPr>
          <w:rFonts w:cs="Times New Roman"/>
        </w:rPr>
        <w:t>Raportis esitatakse põhjalikku analüüsi EL-i tulemuslikkusest teaduses ja innovatsioonis ning sellele aluseks olevatest teguritest. Raport näitab, et EL-i tööviljakus on USA omast 15% madalam, mis tuleneb teadusuuringute alarahastamisest Euroopas. Kuigi EL on jätkuvalt üks maailma mõjukamaid teaduse ja tehnoloogia valdkonnas, peab EL-i majandus muutuma paindlikumaks ja uuendusmahukamaks.</w:t>
      </w:r>
    </w:p>
    <w:p w14:paraId="4F011C0D" w14:textId="77777777" w:rsidR="005B67E1" w:rsidRDefault="005B67E1" w:rsidP="005B67E1">
      <w:pPr>
        <w:jc w:val="both"/>
        <w:rPr>
          <w:b/>
        </w:rPr>
      </w:pPr>
    </w:p>
    <w:p w14:paraId="5CABE9C6" w14:textId="3A3D921F" w:rsidR="005B67E1" w:rsidRPr="006370DE" w:rsidRDefault="005B67E1" w:rsidP="00C12E7C">
      <w:pPr>
        <w:pStyle w:val="Heading2"/>
      </w:pPr>
      <w:bookmarkStart w:id="4" w:name="_Toc330106437"/>
      <w:r w:rsidRPr="006370DE">
        <w:t>Euroopa Strateegiliste Investeeringute Fond</w:t>
      </w:r>
      <w:r>
        <w:t>i</w:t>
      </w:r>
      <w:r w:rsidR="00E35E81">
        <w:t xml:space="preserve"> (EFSI)</w:t>
      </w:r>
      <w:r>
        <w:t xml:space="preserve"> edukus</w:t>
      </w:r>
      <w:bookmarkEnd w:id="4"/>
    </w:p>
    <w:p w14:paraId="4A343EC6" w14:textId="77777777" w:rsidR="005B67E1" w:rsidRDefault="005B67E1" w:rsidP="005B67E1">
      <w:pPr>
        <w:jc w:val="both"/>
      </w:pPr>
      <w:r>
        <w:t>2015. aasta juunis loodi Euroopa Strateegiliste Investeeringute Fond (EFSI), mis on peamine instrument Junckeri strateegias töökohtade loomiseks, kasvuks ja investeeringuteks. EFSI loomiseks eraldati Horisont 2020 eelarvest 2,2 miljardit eurot.</w:t>
      </w:r>
    </w:p>
    <w:p w14:paraId="515916B5" w14:textId="6F010F94" w:rsidR="005B67E1" w:rsidRDefault="005B67E1" w:rsidP="005B67E1">
      <w:pPr>
        <w:jc w:val="both"/>
      </w:pPr>
      <w:r>
        <w:t xml:space="preserve">1. juunil 2016 </w:t>
      </w:r>
      <w:hyperlink r:id="rId13" w:history="1">
        <w:r w:rsidRPr="0060794E">
          <w:rPr>
            <w:rStyle w:val="Hyperlink"/>
          </w:rPr>
          <w:t>teatas</w:t>
        </w:r>
      </w:hyperlink>
      <w:r>
        <w:t xml:space="preserve"> Euroopa Komisjon, et eduka esimese aasta järel on otsustatud EFSI-t pikendada pärast algselt planeeritud kolme aastat. </w:t>
      </w:r>
    </w:p>
    <w:p w14:paraId="61C9035B" w14:textId="7678C3FB" w:rsidR="005B67E1" w:rsidRDefault="005B67E1" w:rsidP="005B67E1">
      <w:pPr>
        <w:jc w:val="both"/>
      </w:pPr>
      <w:r>
        <w:t xml:space="preserve">Euroopa Ülikoolide Liit (EUA) on avaldanud </w:t>
      </w:r>
      <w:hyperlink r:id="rId14" w:history="1">
        <w:r w:rsidRPr="0060794E">
          <w:rPr>
            <w:rStyle w:val="Hyperlink"/>
          </w:rPr>
          <w:t>raporti</w:t>
        </w:r>
      </w:hyperlink>
      <w:r w:rsidR="00BD5D8A">
        <w:t>, milles analüüsitakse</w:t>
      </w:r>
      <w:r>
        <w:t xml:space="preserve">, mil määral on EFSI projektid teadusuuringutele ja ülikoolile kasu toonud. EUA hinnangu kohaselt on 77% EFSI rahastusest läinud infrastruktuuri arendamisesse erinevates sektorites ning VKEde toetuseks. </w:t>
      </w:r>
    </w:p>
    <w:p w14:paraId="77929F95" w14:textId="4EE2E61D" w:rsidR="005B67E1" w:rsidRDefault="005B67E1" w:rsidP="005B67E1">
      <w:pPr>
        <w:jc w:val="both"/>
      </w:pPr>
      <w:r>
        <w:t xml:space="preserve">Science Business on avaldanud </w:t>
      </w:r>
      <w:hyperlink r:id="rId15" w:history="1">
        <w:r w:rsidRPr="00B91A0D">
          <w:rPr>
            <w:rStyle w:val="Hyperlink"/>
          </w:rPr>
          <w:t>artikli</w:t>
        </w:r>
      </w:hyperlink>
      <w:r>
        <w:t xml:space="preserve">, milles hinnatakse EFSI eesmärkide saavutamist. Artiklis kritiseeritakse, et EFSI rahastatud madala riskiga projektid ei ole innovatiivsed ning kaasavad ainult ühte teadusasutust. </w:t>
      </w:r>
    </w:p>
    <w:p w14:paraId="2B9EDDBC" w14:textId="77777777" w:rsidR="00BC67F4" w:rsidRDefault="00BC67F4" w:rsidP="00B91A0D">
      <w:pPr>
        <w:jc w:val="both"/>
        <w:rPr>
          <w:rFonts w:cs="Times New Roman"/>
        </w:rPr>
      </w:pPr>
    </w:p>
    <w:p w14:paraId="08AD433A" w14:textId="12F22AEF" w:rsidR="00BC67F4" w:rsidRPr="00BC67F4" w:rsidRDefault="00BC67F4" w:rsidP="00C12E7C">
      <w:pPr>
        <w:pStyle w:val="Heading2"/>
      </w:pPr>
      <w:bookmarkStart w:id="5" w:name="_Toc330106438"/>
      <w:r w:rsidRPr="00BC67F4">
        <w:t xml:space="preserve">Suurbritannia EL-ist lahkumise mõju </w:t>
      </w:r>
      <w:r>
        <w:t>EL-i</w:t>
      </w:r>
      <w:r w:rsidRPr="00BC67F4">
        <w:t xml:space="preserve"> teaduse</w:t>
      </w:r>
      <w:r>
        <w:t xml:space="preserve"> ja innovatsiooni</w:t>
      </w:r>
      <w:r w:rsidRPr="00BC67F4">
        <w:t>le</w:t>
      </w:r>
      <w:bookmarkEnd w:id="5"/>
    </w:p>
    <w:p w14:paraId="10A8FB59" w14:textId="28340C3A" w:rsidR="00BC67F4" w:rsidRDefault="00BC67F4" w:rsidP="00B91A0D">
      <w:pPr>
        <w:jc w:val="both"/>
        <w:rPr>
          <w:rFonts w:cs="Times New Roman"/>
        </w:rPr>
      </w:pPr>
      <w:r>
        <w:rPr>
          <w:rFonts w:cs="Times New Roman"/>
        </w:rPr>
        <w:t xml:space="preserve">23. juunil toimunud referendumi tulemusena </w:t>
      </w:r>
      <w:r w:rsidR="00342642">
        <w:rPr>
          <w:rFonts w:cs="Times New Roman"/>
        </w:rPr>
        <w:t>otsustas</w:t>
      </w:r>
      <w:r>
        <w:rPr>
          <w:rFonts w:cs="Times New Roman"/>
        </w:rPr>
        <w:t xml:space="preserve"> Suurbritannia </w:t>
      </w:r>
      <w:r w:rsidR="00342642">
        <w:rPr>
          <w:rFonts w:cs="Times New Roman"/>
        </w:rPr>
        <w:t xml:space="preserve">lahkuda </w:t>
      </w:r>
      <w:r>
        <w:rPr>
          <w:rFonts w:cs="Times New Roman"/>
        </w:rPr>
        <w:t>EL-ist</w:t>
      </w:r>
      <w:r w:rsidR="00615029">
        <w:rPr>
          <w:rFonts w:cs="Times New Roman"/>
        </w:rPr>
        <w:t xml:space="preserve"> (</w:t>
      </w:r>
      <w:r w:rsidR="00615029" w:rsidRPr="00615029">
        <w:rPr>
          <w:rFonts w:cs="Times New Roman"/>
          <w:i/>
        </w:rPr>
        <w:t>edaspidi</w:t>
      </w:r>
      <w:r w:rsidR="00615029">
        <w:rPr>
          <w:rFonts w:cs="Times New Roman"/>
        </w:rPr>
        <w:t xml:space="preserve"> </w:t>
      </w:r>
      <w:r w:rsidR="00615029" w:rsidRPr="00615029">
        <w:rPr>
          <w:rFonts w:cs="Times New Roman"/>
        </w:rPr>
        <w:t>Brexit</w:t>
      </w:r>
      <w:r w:rsidR="00615029">
        <w:rPr>
          <w:rFonts w:cs="Times New Roman"/>
        </w:rPr>
        <w:t>)</w:t>
      </w:r>
      <w:r>
        <w:rPr>
          <w:rFonts w:cs="Times New Roman"/>
        </w:rPr>
        <w:t xml:space="preserve">. </w:t>
      </w:r>
      <w:r w:rsidR="00342642">
        <w:rPr>
          <w:rFonts w:cs="Times New Roman"/>
        </w:rPr>
        <w:t xml:space="preserve">Euroopa Komisjoni teaduse ja innovatsiooni volinik </w:t>
      </w:r>
      <w:hyperlink r:id="rId16" w:history="1">
        <w:r w:rsidR="00342642" w:rsidRPr="00342642">
          <w:rPr>
            <w:rStyle w:val="Hyperlink"/>
            <w:rFonts w:cs="Times New Roman"/>
          </w:rPr>
          <w:t>Moedas</w:t>
        </w:r>
      </w:hyperlink>
      <w:r w:rsidR="00342642">
        <w:rPr>
          <w:rFonts w:cs="Times New Roman"/>
        </w:rPr>
        <w:t xml:space="preserve"> on rahustanud, et kuni Lissaboni lepingu artikkel 50 pole käiku lastud ja pole lõpetatud kuni kaheaastane EL-ist lahkumise läbirääkimiste protsess, jääb Suurbritannia täieõiguslikuks EL-i liikmeks ning võib taot</w:t>
      </w:r>
      <w:r w:rsidR="00615029">
        <w:rPr>
          <w:rFonts w:cs="Times New Roman"/>
        </w:rPr>
        <w:t>leda rahastust Horisont 2020-st</w:t>
      </w:r>
      <w:r w:rsidR="00342642">
        <w:rPr>
          <w:rFonts w:cs="Times New Roman"/>
        </w:rPr>
        <w:t xml:space="preserve">. </w:t>
      </w:r>
      <w:r w:rsidR="00615029">
        <w:rPr>
          <w:rFonts w:cs="Times New Roman"/>
        </w:rPr>
        <w:t>Hetkel pole kindel, mis on Brexiti mõju Suurbritanniale ja EL-ile, aga ees võib oodata ebakindlat ja ebastabiilset perioodi.</w:t>
      </w:r>
    </w:p>
    <w:p w14:paraId="0E24215C" w14:textId="78E1CC3F" w:rsidR="00BC67F4" w:rsidRDefault="00BC67F4" w:rsidP="00B91A0D">
      <w:pPr>
        <w:jc w:val="both"/>
        <w:rPr>
          <w:rFonts w:cs="Times New Roman"/>
        </w:rPr>
      </w:pPr>
      <w:r>
        <w:rPr>
          <w:rFonts w:cs="Times New Roman"/>
        </w:rPr>
        <w:lastRenderedPageBreak/>
        <w:t xml:space="preserve">Huvilised võivad jälgida Science Business’i </w:t>
      </w:r>
      <w:hyperlink r:id="rId17" w:history="1">
        <w:r w:rsidRPr="00615029">
          <w:rPr>
            <w:rStyle w:val="Hyperlink"/>
            <w:rFonts w:cs="Times New Roman"/>
          </w:rPr>
          <w:t>blogi</w:t>
        </w:r>
      </w:hyperlink>
      <w:r>
        <w:rPr>
          <w:rFonts w:cs="Times New Roman"/>
        </w:rPr>
        <w:t xml:space="preserve"> kõige värskemate</w:t>
      </w:r>
      <w:r w:rsidR="00615029">
        <w:rPr>
          <w:rFonts w:cs="Times New Roman"/>
        </w:rPr>
        <w:t xml:space="preserve"> uudistega</w:t>
      </w:r>
      <w:r>
        <w:rPr>
          <w:rFonts w:cs="Times New Roman"/>
        </w:rPr>
        <w:t>, mis on seotud Brexiti ja EL-i teaduse ja innovatsiooniga</w:t>
      </w:r>
      <w:r w:rsidR="00615029">
        <w:rPr>
          <w:rFonts w:cs="Times New Roman"/>
        </w:rPr>
        <w:t xml:space="preserve">, </w:t>
      </w:r>
      <w:r w:rsidR="00EB256E">
        <w:rPr>
          <w:rFonts w:cs="Times New Roman"/>
        </w:rPr>
        <w:t xml:space="preserve">tutvuda </w:t>
      </w:r>
      <w:r w:rsidR="00615029">
        <w:rPr>
          <w:rFonts w:cs="Times New Roman"/>
        </w:rPr>
        <w:t>referendumile eelnenud</w:t>
      </w:r>
      <w:r w:rsidR="0090543C">
        <w:rPr>
          <w:rFonts w:cs="Times New Roman"/>
        </w:rPr>
        <w:t xml:space="preserve"> Science Business’i</w:t>
      </w:r>
      <w:r w:rsidR="00615029">
        <w:rPr>
          <w:rFonts w:cs="Times New Roman"/>
        </w:rPr>
        <w:t xml:space="preserve"> </w:t>
      </w:r>
      <w:hyperlink r:id="rId18" w:history="1">
        <w:r w:rsidR="00615029" w:rsidRPr="00615029">
          <w:rPr>
            <w:rStyle w:val="Hyperlink"/>
            <w:rFonts w:cs="Times New Roman"/>
          </w:rPr>
          <w:t>artikliga</w:t>
        </w:r>
      </w:hyperlink>
      <w:r w:rsidR="00615029">
        <w:rPr>
          <w:rFonts w:cs="Times New Roman"/>
        </w:rPr>
        <w:t xml:space="preserve"> Brexiti potentsiaalsest mõjust</w:t>
      </w:r>
      <w:r w:rsidR="0088422B">
        <w:rPr>
          <w:rFonts w:cs="Times New Roman"/>
        </w:rPr>
        <w:t xml:space="preserve">, teadlaste </w:t>
      </w:r>
      <w:hyperlink r:id="rId19" w:history="1">
        <w:r w:rsidR="00205388" w:rsidRPr="00205388">
          <w:rPr>
            <w:rStyle w:val="Hyperlink"/>
            <w:rFonts w:cs="Times New Roman"/>
          </w:rPr>
          <w:t>vastukajaga</w:t>
        </w:r>
      </w:hyperlink>
      <w:r w:rsidR="0088422B">
        <w:rPr>
          <w:rFonts w:cs="Times New Roman"/>
        </w:rPr>
        <w:t xml:space="preserve"> referendumi tulemustele</w:t>
      </w:r>
      <w:r w:rsidR="0090543C">
        <w:rPr>
          <w:rFonts w:cs="Times New Roman"/>
        </w:rPr>
        <w:t xml:space="preserve">, </w:t>
      </w:r>
      <w:hyperlink r:id="rId20" w:history="1">
        <w:r w:rsidR="0090543C" w:rsidRPr="0090543C">
          <w:rPr>
            <w:rStyle w:val="Hyperlink"/>
            <w:rFonts w:cs="Times New Roman"/>
          </w:rPr>
          <w:t>artikliga</w:t>
        </w:r>
      </w:hyperlink>
      <w:r w:rsidR="0090543C">
        <w:rPr>
          <w:rFonts w:cs="Times New Roman"/>
        </w:rPr>
        <w:t xml:space="preserve"> Brexiti mõjust digitaalsektorile, </w:t>
      </w:r>
      <w:hyperlink r:id="rId21" w:history="1">
        <w:r w:rsidR="0090543C" w:rsidRPr="0090543C">
          <w:rPr>
            <w:rStyle w:val="Hyperlink"/>
            <w:rFonts w:cs="Times New Roman"/>
          </w:rPr>
          <w:t>arvamusartikliga</w:t>
        </w:r>
      </w:hyperlink>
      <w:r w:rsidR="0090543C">
        <w:rPr>
          <w:rFonts w:cs="Times New Roman"/>
        </w:rPr>
        <w:t xml:space="preserve"> Brexiti õppetundidest Euroopa teaduse jaoks</w:t>
      </w:r>
      <w:r w:rsidR="00615029">
        <w:rPr>
          <w:rFonts w:cs="Times New Roman"/>
        </w:rPr>
        <w:t xml:space="preserve"> ning SwissCore’i</w:t>
      </w:r>
      <w:r w:rsidR="00EB256E">
        <w:rPr>
          <w:rFonts w:cs="Times New Roman"/>
        </w:rPr>
        <w:t xml:space="preserve"> kokkuvõtva</w:t>
      </w:r>
      <w:r w:rsidR="00615029">
        <w:rPr>
          <w:rFonts w:cs="Times New Roman"/>
        </w:rPr>
        <w:t xml:space="preserve"> </w:t>
      </w:r>
      <w:hyperlink r:id="rId22" w:history="1">
        <w:r w:rsidR="00615029">
          <w:rPr>
            <w:rStyle w:val="Hyperlink"/>
            <w:rFonts w:cs="Times New Roman"/>
          </w:rPr>
          <w:t>artikli</w:t>
        </w:r>
        <w:r w:rsidR="00615029" w:rsidRPr="00615029">
          <w:rPr>
            <w:rStyle w:val="Hyperlink"/>
            <w:rFonts w:cs="Times New Roman"/>
          </w:rPr>
          <w:t>ga</w:t>
        </w:r>
      </w:hyperlink>
      <w:r>
        <w:rPr>
          <w:rFonts w:cs="Times New Roman"/>
        </w:rPr>
        <w:t>.</w:t>
      </w:r>
      <w:r w:rsidR="00615029">
        <w:rPr>
          <w:rFonts w:cs="Times New Roman"/>
        </w:rPr>
        <w:t xml:space="preserve"> </w:t>
      </w:r>
    </w:p>
    <w:p w14:paraId="72F3A49B" w14:textId="77777777" w:rsidR="00A15C2B" w:rsidRDefault="00A15C2B" w:rsidP="00B91A0D">
      <w:pPr>
        <w:jc w:val="both"/>
        <w:rPr>
          <w:b/>
          <w:sz w:val="32"/>
        </w:rPr>
      </w:pPr>
    </w:p>
    <w:p w14:paraId="64AC6BA6" w14:textId="77777777" w:rsidR="00EE4035" w:rsidRPr="008F4AFD" w:rsidRDefault="00EE4035" w:rsidP="00C12E7C">
      <w:pPr>
        <w:pStyle w:val="Heading2"/>
      </w:pPr>
      <w:bookmarkStart w:id="6" w:name="_Toc330106439"/>
      <w:r w:rsidRPr="008F4AFD">
        <w:t>Uus ülikoolide võrgustik</w:t>
      </w:r>
      <w:bookmarkEnd w:id="6"/>
    </w:p>
    <w:p w14:paraId="45AAAAAD" w14:textId="77777777" w:rsidR="00EE4035" w:rsidRPr="008F4AFD" w:rsidRDefault="00EE4035" w:rsidP="00B91A0D">
      <w:pPr>
        <w:jc w:val="both"/>
        <w:rPr>
          <w:rFonts w:cs="Times New Roman"/>
        </w:rPr>
      </w:pPr>
      <w:r w:rsidRPr="008F4AFD">
        <w:rPr>
          <w:rFonts w:cs="Times New Roman"/>
        </w:rPr>
        <w:t xml:space="preserve">1. juunil 2016 asutasid 9 Euroopa ülikooli võrgustiku nimega Euroopa teadusmahukate ülikoolide gild (ingl. </w:t>
      </w:r>
      <w:r w:rsidRPr="008F4AFD">
        <w:rPr>
          <w:rFonts w:cs="Times New Roman"/>
          <w:i/>
        </w:rPr>
        <w:t>the Guild of European Research Intensive Universities</w:t>
      </w:r>
      <w:r w:rsidRPr="008F4AFD">
        <w:rPr>
          <w:rFonts w:cs="Times New Roman"/>
        </w:rPr>
        <w:t xml:space="preserve">), ametlik avamine on 21. novembril 2016. Võrgustiku eesmärk on mõjutada järgmist EL-i teadusuuringute raamprogrammi, mis algab 2021. aastal, ja teha koostööd, et luua innovaatilisi lahendusi Euroopa kõige problemaatilistele teadus- ja sotsiaalprobleemidele. </w:t>
      </w:r>
    </w:p>
    <w:p w14:paraId="3F6293DA" w14:textId="77777777" w:rsidR="00EE4035" w:rsidRDefault="00EE4035" w:rsidP="00B91A0D">
      <w:pPr>
        <w:jc w:val="both"/>
        <w:rPr>
          <w:rFonts w:cs="Times New Roman"/>
        </w:rPr>
      </w:pPr>
      <w:r w:rsidRPr="008F4AFD">
        <w:rPr>
          <w:rFonts w:cs="Times New Roman"/>
        </w:rPr>
        <w:t xml:space="preserve">Huvilised võivad tutvuda Science Business </w:t>
      </w:r>
      <w:hyperlink r:id="rId23" w:history="1">
        <w:r w:rsidRPr="008F4AFD">
          <w:rPr>
            <w:rStyle w:val="Hyperlink"/>
            <w:rFonts w:cs="Times New Roman"/>
          </w:rPr>
          <w:t>artikliga</w:t>
        </w:r>
      </w:hyperlink>
      <w:r w:rsidRPr="008F4AFD">
        <w:rPr>
          <w:rFonts w:cs="Times New Roman"/>
        </w:rPr>
        <w:t>.</w:t>
      </w:r>
    </w:p>
    <w:p w14:paraId="1209D75C" w14:textId="77777777" w:rsidR="00E35E81" w:rsidRPr="008F4AFD" w:rsidRDefault="00E35E81" w:rsidP="00B91A0D">
      <w:pPr>
        <w:jc w:val="both"/>
        <w:rPr>
          <w:rFonts w:cs="Times New Roman"/>
        </w:rPr>
      </w:pPr>
    </w:p>
    <w:p w14:paraId="798B6CCB" w14:textId="77777777" w:rsidR="00E35E81" w:rsidRPr="00B92CF0" w:rsidRDefault="00E35E81" w:rsidP="00C12E7C">
      <w:pPr>
        <w:pStyle w:val="Heading2"/>
      </w:pPr>
      <w:bookmarkStart w:id="7" w:name="_Toc330106440"/>
      <w:r w:rsidRPr="00B92CF0">
        <w:t>EL-i uus Hiinat käsitlev strateegia</w:t>
      </w:r>
      <w:bookmarkEnd w:id="7"/>
    </w:p>
    <w:p w14:paraId="74D9AEB0" w14:textId="77777777" w:rsidR="00E35E81" w:rsidRDefault="00E35E81" w:rsidP="00E35E81">
      <w:pPr>
        <w:jc w:val="both"/>
      </w:pPr>
      <w:r>
        <w:t>22. juunil 2016 avaldasid Euroopa Komisjon</w:t>
      </w:r>
      <w:r w:rsidRPr="000C177D">
        <w:t xml:space="preserve"> ja Euroopa Liidu välisasjade ja julgeolekupolii</w:t>
      </w:r>
      <w:r>
        <w:t xml:space="preserve">tika kõrge esindaja </w:t>
      </w:r>
      <w:hyperlink r:id="rId24" w:history="1">
        <w:r w:rsidRPr="00B92CF0">
          <w:rPr>
            <w:rStyle w:val="Hyperlink"/>
          </w:rPr>
          <w:t>ühisteatise</w:t>
        </w:r>
      </w:hyperlink>
      <w:r>
        <w:t xml:space="preserve"> “</w:t>
      </w:r>
      <w:r w:rsidRPr="00B92CF0">
        <w:t>EL</w:t>
      </w:r>
      <w:r>
        <w:t>-</w:t>
      </w:r>
      <w:r w:rsidRPr="00B92CF0">
        <w:t>i uue Hiinat käsitleva strateegia elemendid</w:t>
      </w:r>
      <w:r>
        <w:t>”, mis kaardistab EL-i suhted Hiinaga järgmise 5 aasta jooksul. Ühisteatises tuuakse välja EL-i ja Hiina vahelise suhte suuri võimalusi, mille hulka kuuluvad ka koostöö teadusuuringute ja innovatsiooni tegevused. Tahetakse tugevdada vastastikku kasulikku koostööd teaduses ja innovatsioonis,</w:t>
      </w:r>
    </w:p>
    <w:p w14:paraId="5E0F9B62" w14:textId="77777777" w:rsidR="00E35E81" w:rsidRDefault="00E35E81" w:rsidP="00E35E81">
      <w:pPr>
        <w:jc w:val="both"/>
      </w:pPr>
      <w:r>
        <w:t>tagades mõlemale poolele võrdsed võimalused. Kinnitatakse, et koostöö digitaalmajanduses võib tuua kasu nii EL-ile kui Hiinale. Ühiste standardite ja ühiste teadusuuringute kaudu saab luua kasvu.</w:t>
      </w:r>
    </w:p>
    <w:p w14:paraId="17C8EBC6" w14:textId="77777777" w:rsidR="00E35E81" w:rsidRDefault="00E35E81" w:rsidP="00E35E81">
      <w:pPr>
        <w:jc w:val="both"/>
      </w:pPr>
      <w:r>
        <w:t xml:space="preserve">Huvilised võivad tutvuda eestikeelse </w:t>
      </w:r>
      <w:hyperlink r:id="rId25" w:history="1">
        <w:r w:rsidRPr="00B92CF0">
          <w:rPr>
            <w:rStyle w:val="Hyperlink"/>
          </w:rPr>
          <w:t>ühisteatisega</w:t>
        </w:r>
      </w:hyperlink>
      <w:r>
        <w:t>.</w:t>
      </w:r>
    </w:p>
    <w:p w14:paraId="4CA130F0" w14:textId="77777777" w:rsidR="00EE4035" w:rsidRDefault="00EE4035" w:rsidP="00B91A0D">
      <w:pPr>
        <w:jc w:val="both"/>
        <w:rPr>
          <w:rFonts w:cs="Times New Roman"/>
          <w:b/>
        </w:rPr>
      </w:pPr>
    </w:p>
    <w:p w14:paraId="30E7616A" w14:textId="77777777" w:rsidR="00EE4035" w:rsidRDefault="00EE4035" w:rsidP="00C12E7C">
      <w:pPr>
        <w:pStyle w:val="Heading2"/>
      </w:pPr>
      <w:bookmarkStart w:id="8" w:name="_Toc330106441"/>
      <w:r w:rsidRPr="00B60DF5">
        <w:t xml:space="preserve">Uus rändealaste </w:t>
      </w:r>
      <w:r>
        <w:t>uuringute partnerlus</w:t>
      </w:r>
      <w:bookmarkEnd w:id="8"/>
    </w:p>
    <w:p w14:paraId="3790FEBE" w14:textId="77777777" w:rsidR="00EE4035" w:rsidRDefault="00EE4035" w:rsidP="00B91A0D">
      <w:pPr>
        <w:jc w:val="both"/>
        <w:rPr>
          <w:rFonts w:cs="Times New Roman"/>
        </w:rPr>
      </w:pPr>
      <w:r>
        <w:rPr>
          <w:rFonts w:cs="Times New Roman"/>
        </w:rPr>
        <w:t xml:space="preserve">20. juunil 2016 käivitasid Euroopa Komisjoni Teadusuuringute Ühiskeskus ja Rahvusvaheline Rakenduslik Süsteemanalüüsi Instituut (ingl. </w:t>
      </w:r>
      <w:r>
        <w:rPr>
          <w:rFonts w:cs="Times New Roman"/>
          <w:i/>
        </w:rPr>
        <w:t xml:space="preserve">International Institute of Applied Systems Analysis – </w:t>
      </w:r>
      <w:r w:rsidRPr="00762921">
        <w:rPr>
          <w:rFonts w:cs="Times New Roman"/>
          <w:i/>
        </w:rPr>
        <w:t>IIASA</w:t>
      </w:r>
      <w:r>
        <w:rPr>
          <w:rFonts w:cs="Times New Roman"/>
        </w:rPr>
        <w:t>) uue teadusuuringute partnerluse, et pakkuda ELi-i poliitika toetamiseks teaduspõhiseid rände- ja demograafiaalaseid teadmisi. Uus rahvastiku ja migratsiooni tippkeskus loodi, kuna on vaja paremaid andmeid ja uuringuid rände pikaajalistest mõjudest EL-i rahvastiku struktuurile.</w:t>
      </w:r>
    </w:p>
    <w:p w14:paraId="508993B1" w14:textId="77777777" w:rsidR="00EE4035" w:rsidRDefault="00EE4035" w:rsidP="00B91A0D">
      <w:pPr>
        <w:jc w:val="both"/>
        <w:rPr>
          <w:rFonts w:cs="Times New Roman"/>
        </w:rPr>
      </w:pPr>
      <w:r>
        <w:rPr>
          <w:rFonts w:cs="Times New Roman"/>
        </w:rPr>
        <w:lastRenderedPageBreak/>
        <w:t xml:space="preserve">Huvilised võivad tutvuda IIASA </w:t>
      </w:r>
      <w:hyperlink r:id="rId26" w:history="1">
        <w:r w:rsidRPr="00762921">
          <w:rPr>
            <w:rStyle w:val="Hyperlink"/>
            <w:rFonts w:cs="Times New Roman"/>
          </w:rPr>
          <w:t>uudisega</w:t>
        </w:r>
      </w:hyperlink>
      <w:r>
        <w:rPr>
          <w:rFonts w:cs="Times New Roman"/>
        </w:rPr>
        <w:t>.</w:t>
      </w:r>
    </w:p>
    <w:p w14:paraId="0130A28F" w14:textId="77777777" w:rsidR="00677BD9" w:rsidRDefault="00677BD9" w:rsidP="00B91A0D">
      <w:pPr>
        <w:jc w:val="both"/>
        <w:rPr>
          <w:rFonts w:cs="Times New Roman"/>
        </w:rPr>
      </w:pPr>
    </w:p>
    <w:p w14:paraId="41D8E64C" w14:textId="5B3AABF1" w:rsidR="00677BD9" w:rsidRDefault="00677BD9" w:rsidP="00677BD9">
      <w:pPr>
        <w:pStyle w:val="Heading2"/>
      </w:pPr>
      <w:bookmarkStart w:id="9" w:name="_Toc330106442"/>
      <w:r>
        <w:t xml:space="preserve">EL-i ja </w:t>
      </w:r>
      <w:r w:rsidR="002F71CE">
        <w:t>Mehhiko ühine geotermilis</w:t>
      </w:r>
      <w:r>
        <w:t>e</w:t>
      </w:r>
      <w:r w:rsidR="002F71CE">
        <w:t xml:space="preserve"> energia</w:t>
      </w:r>
      <w:r>
        <w:t xml:space="preserve"> uurimisprojekt</w:t>
      </w:r>
      <w:bookmarkEnd w:id="9"/>
    </w:p>
    <w:p w14:paraId="26AA78FA" w14:textId="676FF26F" w:rsidR="00677BD9" w:rsidRDefault="001A71B4" w:rsidP="00B91A0D">
      <w:pPr>
        <w:jc w:val="both"/>
        <w:rPr>
          <w:rFonts w:cs="Times New Roman"/>
        </w:rPr>
      </w:pPr>
      <w:r>
        <w:rPr>
          <w:rFonts w:cs="Times New Roman"/>
        </w:rPr>
        <w:t xml:space="preserve">Euroopa ja Mehhiko teadlased hakkavad koostööd tegema geotermilise energia valdkonnas, mis on EL-i ja Mehhiko ühise konkursi käigus valitud GEMex projekti osa. Mõlemad osapooled investeerivad 20 miljonit eurot, EL-i osa tuleb Horisont 2020 eelarvest. </w:t>
      </w:r>
      <w:r w:rsidR="00677BD9">
        <w:rPr>
          <w:rFonts w:cs="Times New Roman"/>
        </w:rPr>
        <w:t>3-aastane projekt algab 2016 sügisel.</w:t>
      </w:r>
    </w:p>
    <w:p w14:paraId="74EFE031" w14:textId="17F6BFA7" w:rsidR="00677BD9" w:rsidRDefault="00677BD9" w:rsidP="00B91A0D">
      <w:pPr>
        <w:jc w:val="both"/>
        <w:rPr>
          <w:rFonts w:cs="Times New Roman"/>
        </w:rPr>
      </w:pPr>
      <w:r>
        <w:rPr>
          <w:rFonts w:cs="Times New Roman"/>
        </w:rPr>
        <w:t xml:space="preserve">Huvilised võivad tutvuda Euroopa Komisjoni </w:t>
      </w:r>
      <w:hyperlink r:id="rId27" w:history="1">
        <w:r w:rsidRPr="00677BD9">
          <w:rPr>
            <w:rStyle w:val="Hyperlink"/>
            <w:rFonts w:cs="Times New Roman"/>
          </w:rPr>
          <w:t>uudisega</w:t>
        </w:r>
      </w:hyperlink>
      <w:r>
        <w:rPr>
          <w:rFonts w:cs="Times New Roman"/>
        </w:rPr>
        <w:t>.</w:t>
      </w:r>
    </w:p>
    <w:p w14:paraId="07FEC2C0" w14:textId="77777777" w:rsidR="00A15C2B" w:rsidRDefault="00A15C2B" w:rsidP="00B91A0D">
      <w:pPr>
        <w:jc w:val="both"/>
        <w:rPr>
          <w:b/>
          <w:sz w:val="32"/>
        </w:rPr>
      </w:pPr>
    </w:p>
    <w:p w14:paraId="2B6242DA" w14:textId="77777777" w:rsidR="00B878B9" w:rsidRPr="00133666" w:rsidRDefault="00B878B9" w:rsidP="00C12E7C">
      <w:pPr>
        <w:pStyle w:val="Heading2"/>
      </w:pPr>
      <w:bookmarkStart w:id="10" w:name="_Toc330106443"/>
      <w:r w:rsidRPr="00133666">
        <w:t>Euroopa Komisjoni uus veebipõhine soolise võrdõiguslikkuse nõustamisteenus ülikoolidele</w:t>
      </w:r>
      <w:bookmarkEnd w:id="10"/>
    </w:p>
    <w:p w14:paraId="73AB718B" w14:textId="77777777" w:rsidR="00B878B9" w:rsidRDefault="00B878B9" w:rsidP="00B878B9">
      <w:pPr>
        <w:jc w:val="both"/>
      </w:pPr>
      <w:r>
        <w:t>Ainult üks viiest tipptasemel EL-i teadlasest on naissoost ning ainult ühes kümnest ülikoolist on naisrektor. Ainult Rootsis on rohkem kui poolte kõrgkoolide eesotsas naised.</w:t>
      </w:r>
    </w:p>
    <w:p w14:paraId="132FE539" w14:textId="77777777" w:rsidR="00B878B9" w:rsidRDefault="00B878B9" w:rsidP="00B878B9">
      <w:pPr>
        <w:jc w:val="both"/>
      </w:pPr>
      <w:r>
        <w:t xml:space="preserve">Euroopa Komisjon on ülikoolide soolise ebavõrdsuse lahendamiseks käivitamas uut veebipõhist nõustamisteenust, mis on saadaval alates sügisest. Teenus töötati välja koostöös EL-i asutuse Euroopa Soolise Võrdõiguslikkuse Instituudiga (ingl. </w:t>
      </w:r>
      <w:r>
        <w:rPr>
          <w:i/>
        </w:rPr>
        <w:t>European Institute for Gender Equality</w:t>
      </w:r>
      <w:r>
        <w:t xml:space="preserve">) ja koondab häid tavasid Euroopast ja väljast. </w:t>
      </w:r>
    </w:p>
    <w:p w14:paraId="2F797BC6" w14:textId="77777777" w:rsidR="00B878B9" w:rsidRDefault="00B878B9" w:rsidP="00B878B9">
      <w:pPr>
        <w:jc w:val="both"/>
      </w:pPr>
      <w:r>
        <w:t xml:space="preserve">Huvilised võivad tutvuda Science Business’i </w:t>
      </w:r>
      <w:hyperlink r:id="rId28" w:history="1">
        <w:r w:rsidRPr="00133666">
          <w:rPr>
            <w:rStyle w:val="Hyperlink"/>
          </w:rPr>
          <w:t>artikliga</w:t>
        </w:r>
      </w:hyperlink>
      <w:r>
        <w:t>.</w:t>
      </w:r>
    </w:p>
    <w:p w14:paraId="50B3125A" w14:textId="77777777" w:rsidR="006370DE" w:rsidRDefault="006370DE" w:rsidP="00B91A0D">
      <w:pPr>
        <w:jc w:val="both"/>
        <w:rPr>
          <w:b/>
          <w:sz w:val="32"/>
        </w:rPr>
      </w:pPr>
    </w:p>
    <w:p w14:paraId="5381FDB7" w14:textId="2A7DFEB6" w:rsidR="00A15C2B" w:rsidRDefault="00EE4035" w:rsidP="00C12E7C">
      <w:pPr>
        <w:pStyle w:val="Heading1"/>
      </w:pPr>
      <w:bookmarkStart w:id="11" w:name="_Toc330106444"/>
      <w:r>
        <w:t>Aruanded, analüüsid</w:t>
      </w:r>
      <w:bookmarkEnd w:id="11"/>
    </w:p>
    <w:p w14:paraId="7C46281E" w14:textId="77777777" w:rsidR="00EE4035" w:rsidRDefault="00EE4035" w:rsidP="00B91A0D">
      <w:pPr>
        <w:jc w:val="both"/>
        <w:rPr>
          <w:b/>
          <w:sz w:val="32"/>
        </w:rPr>
      </w:pPr>
    </w:p>
    <w:p w14:paraId="282771C5" w14:textId="77777777" w:rsidR="00EE4035" w:rsidRPr="00DF15C3" w:rsidRDefault="00EE4035" w:rsidP="00C12E7C">
      <w:pPr>
        <w:pStyle w:val="Heading2"/>
      </w:pPr>
      <w:bookmarkStart w:id="12" w:name="_Toc330106445"/>
      <w:r w:rsidRPr="00DF15C3">
        <w:t>Avatud teaduspilve kõrgetasemelise eksperdirühma esimene aruande eelnõu</w:t>
      </w:r>
      <w:bookmarkEnd w:id="12"/>
    </w:p>
    <w:p w14:paraId="0C4450D6" w14:textId="77777777" w:rsidR="00EE4035" w:rsidRDefault="00EE4035" w:rsidP="00B91A0D">
      <w:pPr>
        <w:jc w:val="both"/>
      </w:pPr>
      <w:r>
        <w:t xml:space="preserve">20. juunil 2016 avaldas Euroopa Komisjoni Euroopa avatud teaduspilve kõrgetasemeline eksperdirühm </w:t>
      </w:r>
      <w:hyperlink r:id="rId29" w:anchor="view=fit&amp;pagemode=none" w:history="1">
        <w:r w:rsidRPr="00DF15C3">
          <w:rPr>
            <w:rStyle w:val="Hyperlink"/>
          </w:rPr>
          <w:t>aruande eelnõu</w:t>
        </w:r>
      </w:hyperlink>
      <w:r>
        <w:t xml:space="preserve"> “Pilv 2020. aasta horisondil. Euroopa avatud teaduspilve realiseerimine – esimene aruanne ja soovitused” (ingl. </w:t>
      </w:r>
      <w:r>
        <w:rPr>
          <w:i/>
        </w:rPr>
        <w:t>A Cloud on the 2020 Horizon. Realising the European Open Science Cloud: first report and recommendations</w:t>
      </w:r>
      <w:r>
        <w:t xml:space="preserve">). Komisjon vaatab eelnõu üle ning avaldab lõpliku versiooni suve jooksul. </w:t>
      </w:r>
    </w:p>
    <w:p w14:paraId="232B3C1A" w14:textId="77777777" w:rsidR="00EE4035" w:rsidRDefault="00EE4035" w:rsidP="00B91A0D">
      <w:pPr>
        <w:jc w:val="both"/>
      </w:pPr>
      <w:r>
        <w:lastRenderedPageBreak/>
        <w:t xml:space="preserve">Huvilised võivad tutvuda Euroopa Komisjoni Euroopa avatud teaduspilve </w:t>
      </w:r>
      <w:hyperlink r:id="rId30" w:history="1">
        <w:r w:rsidRPr="0012021C">
          <w:rPr>
            <w:rStyle w:val="Hyperlink"/>
          </w:rPr>
          <w:t>leheküljega</w:t>
        </w:r>
      </w:hyperlink>
      <w:r>
        <w:t>.</w:t>
      </w:r>
    </w:p>
    <w:p w14:paraId="3EA150AD" w14:textId="77777777" w:rsidR="00EE4035" w:rsidRDefault="00EE4035" w:rsidP="00B91A0D">
      <w:pPr>
        <w:jc w:val="both"/>
        <w:rPr>
          <w:b/>
          <w:sz w:val="32"/>
        </w:rPr>
      </w:pPr>
    </w:p>
    <w:p w14:paraId="381EBCF0" w14:textId="77777777" w:rsidR="00EE4035" w:rsidRPr="008F4AFD" w:rsidRDefault="00EE4035" w:rsidP="00C12E7C">
      <w:pPr>
        <w:pStyle w:val="Heading2"/>
      </w:pPr>
      <w:bookmarkStart w:id="13" w:name="_Toc330106446"/>
      <w:r w:rsidRPr="008F4AFD">
        <w:rPr>
          <w:i/>
        </w:rPr>
        <w:t>Nature’</w:t>
      </w:r>
      <w:r w:rsidRPr="008F4AFD">
        <w:t>i artikkel EL-i teadusrahastuse mõjust</w:t>
      </w:r>
      <w:bookmarkEnd w:id="13"/>
    </w:p>
    <w:p w14:paraId="0E43134A" w14:textId="77777777" w:rsidR="00EE4035" w:rsidRDefault="00EE4035" w:rsidP="00B91A0D">
      <w:pPr>
        <w:jc w:val="both"/>
        <w:rPr>
          <w:rFonts w:cs="Times New Roman"/>
        </w:rPr>
      </w:pPr>
      <w:r w:rsidRPr="008F4AFD">
        <w:rPr>
          <w:rFonts w:cs="Times New Roman"/>
        </w:rPr>
        <w:t xml:space="preserve">Teadusajakirjas </w:t>
      </w:r>
      <w:r w:rsidRPr="008F4AFD">
        <w:rPr>
          <w:rFonts w:cs="Times New Roman"/>
          <w:i/>
        </w:rPr>
        <w:t>Nature</w:t>
      </w:r>
      <w:r w:rsidRPr="008F4AFD">
        <w:rPr>
          <w:rFonts w:cs="Times New Roman"/>
        </w:rPr>
        <w:t xml:space="preserve"> on avaldatud </w:t>
      </w:r>
      <w:hyperlink r:id="rId31" w:anchor="/graphic" w:history="1">
        <w:r w:rsidRPr="008F4AFD">
          <w:rPr>
            <w:rStyle w:val="Hyperlink"/>
            <w:rFonts w:cs="Times New Roman"/>
          </w:rPr>
          <w:t>artikkel</w:t>
        </w:r>
      </w:hyperlink>
      <w:r w:rsidRPr="008F4AFD">
        <w:rPr>
          <w:rFonts w:cs="Times New Roman"/>
        </w:rPr>
        <w:t>, mis uurib 5 peamist viisi, kuidas EL-i rahastus on teadusuuringuid mõjutanud. Analüüs tehti enne Suurbritannia referendumit EL-i jäämise küsimuses. Põhirõhku on artiklis pandud liikuvusele, ühiskondlikele probleemidele, Euroopa Teadusnõukogu kaudu teadusliku tipptaseme edendamisele ja teadusuuringute eelarvekulutustele.</w:t>
      </w:r>
    </w:p>
    <w:p w14:paraId="3BF4D96C" w14:textId="77777777" w:rsidR="00394B81" w:rsidRPr="008F4AFD" w:rsidRDefault="00394B81" w:rsidP="00B91A0D">
      <w:pPr>
        <w:jc w:val="both"/>
        <w:rPr>
          <w:rFonts w:cs="Times New Roman"/>
        </w:rPr>
      </w:pPr>
    </w:p>
    <w:p w14:paraId="26797333" w14:textId="77777777" w:rsidR="00394B81" w:rsidRPr="00D73AAA" w:rsidRDefault="00394B81" w:rsidP="00C12E7C">
      <w:pPr>
        <w:pStyle w:val="Heading2"/>
      </w:pPr>
      <w:bookmarkStart w:id="14" w:name="_Toc330106447"/>
      <w:r w:rsidRPr="00D73AAA">
        <w:t>Raport 7. raamprogrammi ja Horisont 2020 kasutajasõbralikkusest</w:t>
      </w:r>
      <w:bookmarkEnd w:id="14"/>
    </w:p>
    <w:p w14:paraId="1C453A94" w14:textId="77777777" w:rsidR="00394B81" w:rsidRDefault="00394B81" w:rsidP="00394B81">
      <w:pPr>
        <w:jc w:val="both"/>
      </w:pPr>
      <w:r>
        <w:t xml:space="preserve">Euroopa Komisjon viis 24. septembrist 23. oktoobrini 2015 läbi küsitluse, mis analüüsis Horisont 2020 esimest 20 kuud lihtsustamise meetmete rakendamisest, et saada tagasisidet nende meetmete mõjust ning teha kindlaks, milliseid aspekte saaks veel lihtsustada. 75% vastanutest märkisid, et Horisont 2020 on palju lihtsam kui 7. raamprogramm. Komisjon on avaldanud tulemustest </w:t>
      </w:r>
      <w:hyperlink r:id="rId32" w:history="1">
        <w:r w:rsidRPr="00954263">
          <w:rPr>
            <w:rStyle w:val="Hyperlink"/>
          </w:rPr>
          <w:t>raporti</w:t>
        </w:r>
      </w:hyperlink>
      <w:r>
        <w:t xml:space="preserve">. </w:t>
      </w:r>
    </w:p>
    <w:p w14:paraId="26E50B72" w14:textId="77777777" w:rsidR="00394B81" w:rsidRDefault="00394B81" w:rsidP="00394B81">
      <w:pPr>
        <w:jc w:val="both"/>
      </w:pPr>
      <w:r>
        <w:t xml:space="preserve">Huvilised võivad tutvuda ka SwissCore’i </w:t>
      </w:r>
      <w:hyperlink r:id="rId33" w:history="1">
        <w:r w:rsidRPr="00954263">
          <w:rPr>
            <w:rStyle w:val="Hyperlink"/>
          </w:rPr>
          <w:t>uudisega</w:t>
        </w:r>
      </w:hyperlink>
      <w:r>
        <w:t>.</w:t>
      </w:r>
    </w:p>
    <w:p w14:paraId="3E47B807" w14:textId="77777777" w:rsidR="00EE4035" w:rsidRPr="008F4AFD" w:rsidRDefault="00EE4035" w:rsidP="00B91A0D">
      <w:pPr>
        <w:jc w:val="both"/>
        <w:rPr>
          <w:rFonts w:cs="Times New Roman"/>
        </w:rPr>
      </w:pPr>
    </w:p>
    <w:p w14:paraId="606BBC95" w14:textId="77777777" w:rsidR="00EE4035" w:rsidRDefault="00EE4035" w:rsidP="00C12E7C">
      <w:pPr>
        <w:pStyle w:val="Heading2"/>
      </w:pPr>
      <w:bookmarkStart w:id="15" w:name="_Toc330106448"/>
      <w:r w:rsidRPr="008F4AFD">
        <w:t>Raport Horisont 2020 matemaatika konsultatsioonist</w:t>
      </w:r>
      <w:bookmarkEnd w:id="15"/>
    </w:p>
    <w:p w14:paraId="202E8A61" w14:textId="77777777" w:rsidR="00EE4035" w:rsidRPr="008F4AFD" w:rsidRDefault="00EE4035" w:rsidP="00B91A0D">
      <w:pPr>
        <w:jc w:val="both"/>
        <w:rPr>
          <w:rFonts w:cs="Times New Roman"/>
        </w:rPr>
      </w:pPr>
      <w:r>
        <w:rPr>
          <w:rFonts w:cs="Times New Roman"/>
        </w:rPr>
        <w:t xml:space="preserve">29. jaanuarist kuni 15. maini 2016 viis Euroopa Komisjon läbi veebipõhise matemaatika konsultatsiooni, et saada innovatiivset matemaatilist sisendit Horisont 2020 2018-2020 tööprogrammi ettevalmistamiseks. DG Connect on avaldanud </w:t>
      </w:r>
      <w:hyperlink r:id="rId34" w:history="1">
        <w:r w:rsidRPr="00A670B3">
          <w:rPr>
            <w:rStyle w:val="Hyperlink"/>
            <w:rFonts w:cs="Times New Roman"/>
          </w:rPr>
          <w:t>raporti</w:t>
        </w:r>
      </w:hyperlink>
      <w:r>
        <w:rPr>
          <w:rFonts w:cs="Times New Roman"/>
        </w:rPr>
        <w:t xml:space="preserve"> konsultatsiooni tulemustest. Raportit esitatakse IKT taotlejate päeval Bratislavas septembris 2016.</w:t>
      </w:r>
    </w:p>
    <w:p w14:paraId="347F7472" w14:textId="77777777" w:rsidR="00EE4035" w:rsidRDefault="00EE4035" w:rsidP="00B91A0D">
      <w:pPr>
        <w:jc w:val="both"/>
        <w:rPr>
          <w:rFonts w:cs="Times New Roman"/>
        </w:rPr>
      </w:pPr>
      <w:r>
        <w:rPr>
          <w:rFonts w:cs="Times New Roman"/>
        </w:rPr>
        <w:t xml:space="preserve">Huvilised võivad tutvuda ERA Austria portaali </w:t>
      </w:r>
      <w:hyperlink r:id="rId35" w:history="1">
        <w:r w:rsidRPr="00A670B3">
          <w:rPr>
            <w:rStyle w:val="Hyperlink"/>
            <w:rFonts w:cs="Times New Roman"/>
          </w:rPr>
          <w:t>uudisega</w:t>
        </w:r>
      </w:hyperlink>
      <w:r>
        <w:rPr>
          <w:rFonts w:cs="Times New Roman"/>
        </w:rPr>
        <w:t xml:space="preserve">. </w:t>
      </w:r>
    </w:p>
    <w:p w14:paraId="0DD444EF" w14:textId="77777777" w:rsidR="00EE4035" w:rsidRPr="008F4AFD" w:rsidRDefault="00EE4035" w:rsidP="00B91A0D">
      <w:pPr>
        <w:jc w:val="both"/>
        <w:rPr>
          <w:rFonts w:cs="Times New Roman"/>
        </w:rPr>
      </w:pPr>
    </w:p>
    <w:p w14:paraId="2EC31E2C" w14:textId="77777777" w:rsidR="00EE4035" w:rsidRPr="00904923" w:rsidRDefault="00EE4035" w:rsidP="00C12E7C">
      <w:pPr>
        <w:pStyle w:val="Heading2"/>
      </w:pPr>
      <w:bookmarkStart w:id="16" w:name="_Toc330106449"/>
      <w:r w:rsidRPr="00904923">
        <w:t>Euroopa Parlamendi raport EL-i innovatsioonipoliitikast</w:t>
      </w:r>
      <w:bookmarkEnd w:id="16"/>
    </w:p>
    <w:p w14:paraId="0E6941A6" w14:textId="77777777" w:rsidR="00EE4035" w:rsidRPr="008F4AFD" w:rsidRDefault="00EE4035" w:rsidP="00B91A0D">
      <w:pPr>
        <w:jc w:val="both"/>
        <w:rPr>
          <w:rFonts w:cs="Times New Roman"/>
        </w:rPr>
      </w:pPr>
      <w:r>
        <w:rPr>
          <w:rFonts w:cs="Times New Roman"/>
        </w:rPr>
        <w:t xml:space="preserve">Euroopa Parlamendi uuringuteenus (ingl. </w:t>
      </w:r>
      <w:r>
        <w:rPr>
          <w:rFonts w:cs="Times New Roman"/>
          <w:i/>
        </w:rPr>
        <w:t>European Parliamentary Research Service – EPRS</w:t>
      </w:r>
      <w:r>
        <w:rPr>
          <w:rFonts w:cs="Times New Roman"/>
        </w:rPr>
        <w:t xml:space="preserve">) koostas </w:t>
      </w:r>
      <w:hyperlink r:id="rId36" w:history="1">
        <w:r w:rsidRPr="00904923">
          <w:rPr>
            <w:rStyle w:val="Hyperlink"/>
            <w:rFonts w:cs="Times New Roman"/>
          </w:rPr>
          <w:t>raporti</w:t>
        </w:r>
      </w:hyperlink>
      <w:r>
        <w:rPr>
          <w:rFonts w:cs="Times New Roman"/>
        </w:rPr>
        <w:t xml:space="preserve"> EL-i innovatsioonipoliitikast. Raport annab ülevaate EL-i innovatsioonipoliitika arengust; meetmetest ja vahenditest, mis moodustavad EL-i innovatsioonipoliitika; ning käsitleb aspekte, mis piiravad selle arengut. </w:t>
      </w:r>
    </w:p>
    <w:p w14:paraId="7708319A" w14:textId="77777777" w:rsidR="00EE4035" w:rsidRDefault="00EE4035" w:rsidP="00B91A0D">
      <w:pPr>
        <w:jc w:val="both"/>
        <w:rPr>
          <w:rFonts w:cs="Times New Roman"/>
        </w:rPr>
      </w:pPr>
    </w:p>
    <w:p w14:paraId="1063D8E9" w14:textId="77777777" w:rsidR="00EE4035" w:rsidRPr="0048397B" w:rsidRDefault="00EE4035" w:rsidP="00C12E7C">
      <w:pPr>
        <w:pStyle w:val="Heading2"/>
      </w:pPr>
      <w:bookmarkStart w:id="17" w:name="_Toc330106450"/>
      <w:r w:rsidRPr="0048397B">
        <w:t xml:space="preserve">Euroopa Parlamendi uuring </w:t>
      </w:r>
      <w:r>
        <w:t>“</w:t>
      </w:r>
      <w:r w:rsidRPr="0013340F">
        <w:rPr>
          <w:i/>
        </w:rPr>
        <w:t>Cost of Non-Europe</w:t>
      </w:r>
      <w:r>
        <w:t>”</w:t>
      </w:r>
      <w:bookmarkEnd w:id="17"/>
    </w:p>
    <w:p w14:paraId="61850EC7" w14:textId="77777777" w:rsidR="00EE4035" w:rsidRDefault="00EE4035" w:rsidP="00B91A0D">
      <w:pPr>
        <w:jc w:val="both"/>
        <w:rPr>
          <w:rFonts w:cs="Times New Roman"/>
        </w:rPr>
      </w:pPr>
      <w:r>
        <w:rPr>
          <w:rFonts w:cs="Times New Roman"/>
        </w:rPr>
        <w:t xml:space="preserve">Euroopa Parlamendi uuringuteenus (ingl. </w:t>
      </w:r>
      <w:r>
        <w:rPr>
          <w:rFonts w:cs="Times New Roman"/>
          <w:i/>
        </w:rPr>
        <w:t>European Parliamentary Research Service – EPRS</w:t>
      </w:r>
      <w:r>
        <w:rPr>
          <w:rFonts w:cs="Times New Roman"/>
        </w:rPr>
        <w:t xml:space="preserve">) tegi </w:t>
      </w:r>
      <w:hyperlink r:id="rId37" w:history="1">
        <w:r w:rsidRPr="0013340F">
          <w:rPr>
            <w:rStyle w:val="Hyperlink"/>
            <w:rFonts w:cs="Times New Roman"/>
          </w:rPr>
          <w:t>analüüsi</w:t>
        </w:r>
      </w:hyperlink>
      <w:r>
        <w:rPr>
          <w:rFonts w:cs="Times New Roman"/>
        </w:rPr>
        <w:t xml:space="preserve"> “</w:t>
      </w:r>
      <w:r>
        <w:rPr>
          <w:rFonts w:cs="Times New Roman"/>
          <w:i/>
        </w:rPr>
        <w:t>Cost of Non-Europe”</w:t>
      </w:r>
      <w:r>
        <w:rPr>
          <w:rFonts w:cs="Times New Roman"/>
        </w:rPr>
        <w:t>, mis uurib praeguse poliitilise raamistiku rakendamist Euroopa teadusruumis (ERA). Uuring sisaldab ERA poliitilise raamistiku järelhindamist ning võimalike edasiste meetmete kasutuselevõtmise kulude ja tulude eelhindamist. Hindamise tulemusena toodi välja ERA poliitilise raamistiku puudujäägid ning kulud, kui edasisi meetmeid ei võeta kasutusele. Uuringu ettevaatliku prognoosi kohaselt ulatuvad kulud, mis on seotud ERA poliitilise raamistiku puudujääkide rakendamisega, 3 miljardi euroni aastas.</w:t>
      </w:r>
    </w:p>
    <w:p w14:paraId="67CA2FC9" w14:textId="77777777" w:rsidR="00EE4035" w:rsidRDefault="00EE4035" w:rsidP="00B91A0D">
      <w:pPr>
        <w:jc w:val="both"/>
        <w:rPr>
          <w:b/>
          <w:sz w:val="32"/>
        </w:rPr>
      </w:pPr>
    </w:p>
    <w:p w14:paraId="0FBB0B66" w14:textId="15B0F84D" w:rsidR="00EE4035" w:rsidRDefault="00EE4035" w:rsidP="00C12E7C">
      <w:pPr>
        <w:pStyle w:val="Heading1"/>
      </w:pPr>
      <w:bookmarkStart w:id="18" w:name="_Toc330106451"/>
      <w:r>
        <w:t>Konkursid</w:t>
      </w:r>
      <w:bookmarkEnd w:id="18"/>
    </w:p>
    <w:p w14:paraId="2F19FC70" w14:textId="77777777" w:rsidR="00EE4035" w:rsidRDefault="00EE4035" w:rsidP="00B91A0D">
      <w:pPr>
        <w:jc w:val="both"/>
        <w:rPr>
          <w:b/>
          <w:sz w:val="32"/>
        </w:rPr>
      </w:pPr>
    </w:p>
    <w:p w14:paraId="63010E70" w14:textId="54ACD014" w:rsidR="00A56420" w:rsidRPr="00A56420" w:rsidRDefault="00A56420" w:rsidP="00C12E7C">
      <w:pPr>
        <w:pStyle w:val="Heading2"/>
      </w:pPr>
      <w:bookmarkStart w:id="19" w:name="_Toc330106452"/>
      <w:r>
        <w:t xml:space="preserve">Euroopa Komisjoni </w:t>
      </w:r>
      <w:r>
        <w:rPr>
          <w:i/>
        </w:rPr>
        <w:t xml:space="preserve">Innovation Deals </w:t>
      </w:r>
      <w:r>
        <w:t>osaluskutse</w:t>
      </w:r>
      <w:bookmarkEnd w:id="19"/>
      <w:r>
        <w:t xml:space="preserve"> </w:t>
      </w:r>
    </w:p>
    <w:p w14:paraId="12F62A55" w14:textId="70783E18" w:rsidR="00EE4035" w:rsidRDefault="00A56420" w:rsidP="00B91A0D">
      <w:pPr>
        <w:jc w:val="both"/>
      </w:pPr>
      <w:r>
        <w:t xml:space="preserve">Euroopa Komisjon on käivitanud </w:t>
      </w:r>
      <w:r>
        <w:rPr>
          <w:i/>
        </w:rPr>
        <w:t xml:space="preserve">Innovation Deals </w:t>
      </w:r>
      <w:r>
        <w:t xml:space="preserve">pilootprojekti, mille eesmärk on vähendada takistusi seadusraamistikus, mis on seotud innovatsiooniga EL-i ringmajanduse tegevuskavas. 26. mail 2016 avati </w:t>
      </w:r>
      <w:hyperlink r:id="rId38" w:history="1">
        <w:r w:rsidRPr="00C310E0">
          <w:rPr>
            <w:rStyle w:val="Hyperlink"/>
          </w:rPr>
          <w:t>osaluskutse</w:t>
        </w:r>
      </w:hyperlink>
      <w:r w:rsidR="00C310E0">
        <w:t xml:space="preserve">, mille raames saavad taotlejad kirjeldada oma innovatiivsust ja kuidas EL-i reguleeriv raamistik pärsib nende innovatsiooni jõudmist turule. </w:t>
      </w:r>
    </w:p>
    <w:p w14:paraId="47CDF17F" w14:textId="11DACCC7" w:rsidR="00C310E0" w:rsidRDefault="00C310E0" w:rsidP="00B91A0D">
      <w:pPr>
        <w:jc w:val="both"/>
      </w:pPr>
      <w:r>
        <w:t xml:space="preserve">Konkursi tähtaeg on 15. september 2016. </w:t>
      </w:r>
    </w:p>
    <w:p w14:paraId="11EEB04F" w14:textId="7FF1FF84" w:rsidR="00C310E0" w:rsidRPr="00A56420" w:rsidRDefault="00C310E0" w:rsidP="00B91A0D">
      <w:pPr>
        <w:jc w:val="both"/>
      </w:pPr>
      <w:r>
        <w:t xml:space="preserve">Huvilised võivad tutvuda Euroopa Komisjoni </w:t>
      </w:r>
      <w:hyperlink r:id="rId39" w:history="1">
        <w:r w:rsidRPr="00C310E0">
          <w:rPr>
            <w:rStyle w:val="Hyperlink"/>
          </w:rPr>
          <w:t>teatega</w:t>
        </w:r>
      </w:hyperlink>
      <w:r>
        <w:t>.</w:t>
      </w:r>
    </w:p>
    <w:p w14:paraId="7DE910E1" w14:textId="77777777" w:rsidR="00EE4035" w:rsidRDefault="00EE4035" w:rsidP="00B91A0D">
      <w:pPr>
        <w:jc w:val="both"/>
        <w:rPr>
          <w:b/>
          <w:sz w:val="32"/>
        </w:rPr>
      </w:pPr>
    </w:p>
    <w:p w14:paraId="71397F3F" w14:textId="5F471AB9" w:rsidR="00EE4035" w:rsidRDefault="00EE4035" w:rsidP="00C12E7C">
      <w:pPr>
        <w:pStyle w:val="Heading1"/>
      </w:pPr>
      <w:bookmarkStart w:id="20" w:name="_Toc330106453"/>
      <w:r>
        <w:t>Innovatsioon</w:t>
      </w:r>
      <w:bookmarkEnd w:id="20"/>
    </w:p>
    <w:p w14:paraId="6E18E3D2" w14:textId="77777777" w:rsidR="00F9064D" w:rsidRDefault="00F9064D" w:rsidP="00F9064D">
      <w:pPr>
        <w:jc w:val="both"/>
        <w:rPr>
          <w:b/>
        </w:rPr>
      </w:pPr>
    </w:p>
    <w:p w14:paraId="1C2B1E8E" w14:textId="77777777" w:rsidR="00F9064D" w:rsidRDefault="00F9064D" w:rsidP="00C12E7C">
      <w:pPr>
        <w:pStyle w:val="Heading2"/>
      </w:pPr>
      <w:bookmarkStart w:id="21" w:name="_Toc330106454"/>
      <w:r>
        <w:lastRenderedPageBreak/>
        <w:t>Euroopa Komisjoni innovatsiooni raport</w:t>
      </w:r>
      <w:bookmarkEnd w:id="21"/>
    </w:p>
    <w:p w14:paraId="3D3FF60B" w14:textId="77777777" w:rsidR="00F9064D" w:rsidRDefault="00F9064D" w:rsidP="00F9064D">
      <w:pPr>
        <w:jc w:val="both"/>
      </w:pPr>
      <w:r>
        <w:t xml:space="preserve">Robert Madelin, Euroopa Komisjoni presidendi vanemnõunik innovatsiooni vallas, on avaldanud </w:t>
      </w:r>
      <w:hyperlink r:id="rId40" w:history="1">
        <w:r w:rsidRPr="00BB2F05">
          <w:rPr>
            <w:rStyle w:val="Hyperlink"/>
          </w:rPr>
          <w:t>raporti</w:t>
        </w:r>
      </w:hyperlink>
      <w:r>
        <w:t xml:space="preserve"> “Hea võimalus: Euroopa innovatsiooni missioon”  (ingl. </w:t>
      </w:r>
      <w:r>
        <w:rPr>
          <w:i/>
        </w:rPr>
        <w:t>Opportunity Now: Europe’s Mission to Innovate</w:t>
      </w:r>
      <w:r>
        <w:t xml:space="preserve">). Raportis tuuakse välja mõtteid, kuidas suurendada riskide võtmist ülikoolides ning anda uut hoogu poliitika kujundamisele EL-i avalikus teenistuses. Muuhulgas toetab raport Horisont 2020 taotluste halduskoormuse vähendamist, Euroopa Innovatsiooni ja Tehnoloogiainstituudi (EIT) potentsiaali, mis on hetkel alahinnatud, ning EL-i alusuuringute rahastamist. </w:t>
      </w:r>
    </w:p>
    <w:p w14:paraId="59CED046" w14:textId="77777777" w:rsidR="00F9064D" w:rsidRPr="00430C97" w:rsidRDefault="00F9064D" w:rsidP="00F9064D">
      <w:pPr>
        <w:jc w:val="both"/>
      </w:pPr>
      <w:r>
        <w:t xml:space="preserve">Huvilised võivad tutvuda Science Business’i </w:t>
      </w:r>
      <w:hyperlink r:id="rId41" w:history="1">
        <w:r w:rsidRPr="00BB2F05">
          <w:rPr>
            <w:rStyle w:val="Hyperlink"/>
          </w:rPr>
          <w:t>artikliga</w:t>
        </w:r>
      </w:hyperlink>
      <w:r>
        <w:t>.</w:t>
      </w:r>
    </w:p>
    <w:p w14:paraId="45D3894D" w14:textId="77777777" w:rsidR="00EE4035" w:rsidRDefault="00EE4035" w:rsidP="00B91A0D">
      <w:pPr>
        <w:jc w:val="both"/>
        <w:rPr>
          <w:b/>
          <w:sz w:val="32"/>
        </w:rPr>
      </w:pPr>
    </w:p>
    <w:p w14:paraId="2843F918" w14:textId="77777777" w:rsidR="00EE4035" w:rsidRPr="008F4AFD" w:rsidRDefault="00EE4035" w:rsidP="00C12E7C">
      <w:pPr>
        <w:pStyle w:val="Heading2"/>
      </w:pPr>
      <w:bookmarkStart w:id="22" w:name="_Toc330106455"/>
      <w:r w:rsidRPr="008F4AFD">
        <w:t>Euroopa teadusruumi komitee (ERAC) valmistab ette arvamust Euroopa Innovatsiooni Nõukogust</w:t>
      </w:r>
      <w:bookmarkEnd w:id="22"/>
    </w:p>
    <w:p w14:paraId="52B7E5FC" w14:textId="77777777" w:rsidR="00EE4035" w:rsidRPr="008F4AFD" w:rsidRDefault="00EE4035" w:rsidP="00B91A0D">
      <w:pPr>
        <w:jc w:val="both"/>
        <w:rPr>
          <w:rFonts w:cs="Times New Roman"/>
        </w:rPr>
      </w:pPr>
      <w:r w:rsidRPr="008F4AFD">
        <w:rPr>
          <w:rFonts w:cs="Times New Roman"/>
        </w:rPr>
        <w:t xml:space="preserve">6. juunil korraldas Euroopa teadusruumi komitee (ingl. </w:t>
      </w:r>
      <w:r w:rsidRPr="008F4AFD">
        <w:rPr>
          <w:rFonts w:cs="Times New Roman"/>
          <w:i/>
        </w:rPr>
        <w:t>European Research Area Committee – ERAC</w:t>
      </w:r>
      <w:r w:rsidRPr="008F4AFD">
        <w:rPr>
          <w:rFonts w:cs="Times New Roman"/>
        </w:rPr>
        <w:t xml:space="preserve">) töökoja, et alustada ettevalmistusi arvamuseks Euroopa Innovatsiooni Nõukogust (ingl. </w:t>
      </w:r>
      <w:r w:rsidRPr="008F4AFD">
        <w:rPr>
          <w:rFonts w:cs="Times New Roman"/>
          <w:i/>
        </w:rPr>
        <w:t>European Innovation Council – EIC</w:t>
      </w:r>
      <w:r w:rsidRPr="008F4AFD">
        <w:rPr>
          <w:rFonts w:cs="Times New Roman"/>
        </w:rPr>
        <w:t>). ERAC-i arvamus aitab kaasa Innovatsiooni Nõukogu arutelule Slovakkia eesistumise raames toimuva teadusministrite mitteametlikul kohtumisel 18.-19. juulil 2016.</w:t>
      </w:r>
    </w:p>
    <w:p w14:paraId="73FECD56" w14:textId="77777777" w:rsidR="00EE4035" w:rsidRPr="008F4AFD" w:rsidRDefault="00EE4035" w:rsidP="00B91A0D">
      <w:pPr>
        <w:jc w:val="both"/>
        <w:rPr>
          <w:rFonts w:cs="Times New Roman"/>
        </w:rPr>
      </w:pPr>
      <w:r w:rsidRPr="008F4AFD">
        <w:rPr>
          <w:rFonts w:cs="Times New Roman"/>
        </w:rPr>
        <w:t xml:space="preserve">Huvilised võivad tutvuda ERA Austria portaali </w:t>
      </w:r>
      <w:hyperlink r:id="rId42" w:history="1">
        <w:r w:rsidRPr="008F4AFD">
          <w:rPr>
            <w:rStyle w:val="Hyperlink"/>
            <w:rFonts w:cs="Times New Roman"/>
          </w:rPr>
          <w:t>uudisega</w:t>
        </w:r>
      </w:hyperlink>
      <w:r w:rsidRPr="008F4AFD">
        <w:rPr>
          <w:rFonts w:cs="Times New Roman"/>
        </w:rPr>
        <w:t xml:space="preserve">. </w:t>
      </w:r>
    </w:p>
    <w:p w14:paraId="45D91D8C" w14:textId="77777777" w:rsidR="00EE4035" w:rsidRDefault="00EE4035" w:rsidP="00B91A0D">
      <w:pPr>
        <w:jc w:val="both"/>
        <w:rPr>
          <w:b/>
          <w:sz w:val="32"/>
        </w:rPr>
      </w:pPr>
    </w:p>
    <w:p w14:paraId="165A1AA7" w14:textId="77777777" w:rsidR="00F040DD" w:rsidRDefault="00F040DD" w:rsidP="00F040DD">
      <w:pPr>
        <w:pStyle w:val="Heading2"/>
      </w:pPr>
      <w:bookmarkStart w:id="23" w:name="_Toc330106456"/>
      <w:r>
        <w:t>EL-i liitumine globaalse puhta energia innovatsiooni algatusega</w:t>
      </w:r>
      <w:bookmarkEnd w:id="23"/>
    </w:p>
    <w:p w14:paraId="19BD489E" w14:textId="77777777" w:rsidR="00F040DD" w:rsidRDefault="00F040DD" w:rsidP="00F040DD">
      <w:pPr>
        <w:jc w:val="both"/>
      </w:pPr>
      <w:r>
        <w:t xml:space="preserve">EL liitus juuni alguses “Innovatsiooni missiooniga” (ingl. </w:t>
      </w:r>
      <w:r>
        <w:rPr>
          <w:i/>
        </w:rPr>
        <w:t>Mission Innovation</w:t>
      </w:r>
      <w:r>
        <w:t xml:space="preserve">), mis on ülemaailmne puhta energia algatus. Algatus käivitati ÜRO kliimamuutuste konverentsil aastal 2015 eesmärgiga taaselustada ja kiirendada avaliku ja erasektori globaalset puhta energia innovatsiooni. </w:t>
      </w:r>
    </w:p>
    <w:p w14:paraId="0D97A7F9" w14:textId="77777777" w:rsidR="00F040DD" w:rsidRDefault="00F040DD" w:rsidP="00F040DD">
      <w:pPr>
        <w:jc w:val="both"/>
      </w:pPr>
      <w:r>
        <w:t xml:space="preserve">Huvilised võivad tutvuda ERA Austria portaali </w:t>
      </w:r>
      <w:hyperlink r:id="rId43" w:history="1">
        <w:r w:rsidRPr="005560DA">
          <w:rPr>
            <w:rStyle w:val="Hyperlink"/>
          </w:rPr>
          <w:t>uudisega</w:t>
        </w:r>
      </w:hyperlink>
      <w:r>
        <w:t xml:space="preserve"> ja Euroopa Komisjoni </w:t>
      </w:r>
      <w:hyperlink r:id="rId44" w:history="1">
        <w:r w:rsidRPr="005560DA">
          <w:rPr>
            <w:rStyle w:val="Hyperlink"/>
          </w:rPr>
          <w:t>pressiteatega</w:t>
        </w:r>
      </w:hyperlink>
      <w:r>
        <w:t>.</w:t>
      </w:r>
    </w:p>
    <w:p w14:paraId="47393085" w14:textId="77777777" w:rsidR="005976AF" w:rsidRDefault="005976AF" w:rsidP="00B91A0D">
      <w:pPr>
        <w:jc w:val="both"/>
        <w:rPr>
          <w:b/>
          <w:sz w:val="32"/>
        </w:rPr>
      </w:pPr>
    </w:p>
    <w:p w14:paraId="4A832B5D" w14:textId="77777777" w:rsidR="005976AF" w:rsidRPr="00B411A4" w:rsidRDefault="005976AF" w:rsidP="005976AF">
      <w:pPr>
        <w:jc w:val="both"/>
        <w:rPr>
          <w:b/>
          <w:sz w:val="28"/>
          <w:szCs w:val="28"/>
        </w:rPr>
      </w:pPr>
      <w:r w:rsidRPr="00B411A4">
        <w:rPr>
          <w:b/>
          <w:sz w:val="28"/>
          <w:szCs w:val="28"/>
        </w:rPr>
        <w:t>Koostajad</w:t>
      </w:r>
    </w:p>
    <w:p w14:paraId="252369FA" w14:textId="77777777" w:rsidR="005976AF" w:rsidRPr="00B411A4" w:rsidRDefault="005976AF" w:rsidP="005976AF">
      <w:pPr>
        <w:jc w:val="both"/>
        <w:rPr>
          <w:b/>
        </w:rPr>
      </w:pPr>
    </w:p>
    <w:p w14:paraId="5AA55178" w14:textId="77777777" w:rsidR="005976AF" w:rsidRPr="00B411A4" w:rsidRDefault="005976AF" w:rsidP="005976AF">
      <w:pPr>
        <w:jc w:val="both"/>
      </w:pPr>
      <w:r w:rsidRPr="00B411A4">
        <w:t>Kadri Sirg</w:t>
      </w:r>
    </w:p>
    <w:p w14:paraId="13334489" w14:textId="77777777" w:rsidR="005976AF" w:rsidRPr="00B411A4" w:rsidRDefault="005976AF" w:rsidP="005976AF">
      <w:pPr>
        <w:jc w:val="both"/>
      </w:pPr>
      <w:r w:rsidRPr="00B411A4">
        <w:t xml:space="preserve">ETAg-i Brüsseli büroo juht, </w:t>
      </w:r>
      <w:hyperlink r:id="rId45" w:history="1">
        <w:r w:rsidRPr="00B411A4">
          <w:rPr>
            <w:rStyle w:val="Hyperlink"/>
          </w:rPr>
          <w:t>kadri.sirg@etag.ee</w:t>
        </w:r>
      </w:hyperlink>
      <w:r w:rsidRPr="00B411A4">
        <w:t xml:space="preserve"> </w:t>
      </w:r>
    </w:p>
    <w:p w14:paraId="30D8EA60" w14:textId="77777777" w:rsidR="005976AF" w:rsidRPr="00B411A4" w:rsidRDefault="005976AF" w:rsidP="005976AF">
      <w:pPr>
        <w:jc w:val="both"/>
      </w:pPr>
    </w:p>
    <w:p w14:paraId="0CA43DF8" w14:textId="77777777" w:rsidR="005976AF" w:rsidRPr="00B411A4" w:rsidRDefault="005976AF" w:rsidP="005976AF">
      <w:pPr>
        <w:jc w:val="both"/>
      </w:pPr>
      <w:r w:rsidRPr="00B411A4">
        <w:t xml:space="preserve">Annika Eskusson </w:t>
      </w:r>
    </w:p>
    <w:p w14:paraId="13EA0573" w14:textId="77777777" w:rsidR="005976AF" w:rsidRPr="00B411A4" w:rsidRDefault="005976AF" w:rsidP="005976AF">
      <w:pPr>
        <w:jc w:val="both"/>
      </w:pPr>
      <w:r w:rsidRPr="00B411A4">
        <w:t xml:space="preserve">ETAg-i Brüsseli büroo püsistažöör, </w:t>
      </w:r>
      <w:hyperlink r:id="rId46" w:history="1">
        <w:r w:rsidRPr="00B411A4">
          <w:rPr>
            <w:rStyle w:val="Hyperlink"/>
          </w:rPr>
          <w:t>annika.eskusson@etag.ee</w:t>
        </w:r>
      </w:hyperlink>
      <w:r w:rsidRPr="00B411A4">
        <w:t xml:space="preserve"> </w:t>
      </w:r>
    </w:p>
    <w:p w14:paraId="780748DD" w14:textId="77777777" w:rsidR="005976AF" w:rsidRPr="00A15C2B" w:rsidRDefault="005976AF" w:rsidP="00B91A0D">
      <w:pPr>
        <w:jc w:val="both"/>
        <w:rPr>
          <w:b/>
          <w:sz w:val="32"/>
        </w:rPr>
      </w:pPr>
    </w:p>
    <w:p w14:paraId="29F62AF9" w14:textId="77777777" w:rsidR="00DC14A7" w:rsidRDefault="00DC14A7" w:rsidP="00B91A0D">
      <w:pPr>
        <w:jc w:val="both"/>
      </w:pPr>
    </w:p>
    <w:p w14:paraId="56364A93" w14:textId="77777777" w:rsidR="00C154EF" w:rsidRPr="00437599" w:rsidRDefault="00C154EF" w:rsidP="00B91A0D">
      <w:pPr>
        <w:jc w:val="both"/>
        <w:rPr>
          <w:rFonts w:ascii="Times New Roman" w:hAnsi="Times New Roman" w:cs="Times New Roman"/>
          <w:color w:val="0000FF"/>
          <w:sz w:val="32"/>
          <w:szCs w:val="32"/>
          <w:u w:val="single" w:color="0000FF"/>
        </w:rPr>
      </w:pPr>
    </w:p>
    <w:p w14:paraId="6371D1AD" w14:textId="77777777" w:rsidR="00D410CB" w:rsidRPr="00437599" w:rsidRDefault="00D410CB" w:rsidP="00437599">
      <w:pPr>
        <w:jc w:val="both"/>
        <w:rPr>
          <w:rFonts w:ascii="Times New Roman" w:hAnsi="Times New Roman" w:cs="Times New Roman"/>
          <w:sz w:val="32"/>
          <w:szCs w:val="32"/>
        </w:rPr>
      </w:pPr>
    </w:p>
    <w:p w14:paraId="2085D88E" w14:textId="77777777" w:rsidR="00D410CB" w:rsidRPr="00437599" w:rsidRDefault="00D410CB" w:rsidP="00437599">
      <w:pPr>
        <w:jc w:val="both"/>
        <w:rPr>
          <w:rFonts w:ascii="Times New Roman" w:hAnsi="Times New Roman" w:cs="Times New Roman"/>
          <w:sz w:val="32"/>
          <w:szCs w:val="32"/>
        </w:rPr>
      </w:pPr>
    </w:p>
    <w:p w14:paraId="49D178FB" w14:textId="77777777" w:rsidR="00D410CB" w:rsidRPr="00437599" w:rsidRDefault="00D410CB" w:rsidP="00437599">
      <w:pPr>
        <w:jc w:val="both"/>
        <w:rPr>
          <w:rFonts w:ascii="Times New Roman" w:hAnsi="Times New Roman" w:cs="Times New Roman"/>
          <w:sz w:val="32"/>
          <w:szCs w:val="32"/>
        </w:rPr>
      </w:pPr>
    </w:p>
    <w:p w14:paraId="041B1446" w14:textId="77777777" w:rsidR="00D410CB" w:rsidRPr="00C154EF" w:rsidRDefault="00D410CB" w:rsidP="00DC14A7">
      <w:pPr>
        <w:rPr>
          <w:b/>
        </w:rPr>
      </w:pPr>
    </w:p>
    <w:sectPr w:rsidR="00D410CB" w:rsidRPr="00C154EF" w:rsidSect="001C2E8C">
      <w:headerReference w:type="default" r:id="rI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7E2A3" w14:textId="77777777" w:rsidR="0077396A" w:rsidRDefault="0077396A" w:rsidP="00DE355E">
      <w:r>
        <w:separator/>
      </w:r>
    </w:p>
  </w:endnote>
  <w:endnote w:type="continuationSeparator" w:id="0">
    <w:p w14:paraId="05615A67" w14:textId="77777777" w:rsidR="0077396A" w:rsidRDefault="0077396A" w:rsidP="00DE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6A198" w14:textId="77777777" w:rsidR="0077396A" w:rsidRDefault="0077396A" w:rsidP="00DE355E">
      <w:r>
        <w:separator/>
      </w:r>
    </w:p>
  </w:footnote>
  <w:footnote w:type="continuationSeparator" w:id="0">
    <w:p w14:paraId="791FE8B1" w14:textId="77777777" w:rsidR="0077396A" w:rsidRDefault="0077396A" w:rsidP="00DE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803" w14:textId="77777777" w:rsidR="00D73AAA" w:rsidRDefault="00D73AAA" w:rsidP="00DE355E">
    <w:pPr>
      <w:pStyle w:val="Header"/>
    </w:pPr>
    <w:r>
      <w:rPr>
        <w:noProof/>
        <w:lang w:eastAsia="et-EE"/>
      </w:rPr>
      <w:drawing>
        <wp:anchor distT="0" distB="0" distL="114300" distR="114300" simplePos="0" relativeHeight="251659264" behindDoc="1" locked="0" layoutInCell="1" allowOverlap="1" wp14:anchorId="489C841F" wp14:editId="378572F4">
          <wp:simplePos x="0" y="0"/>
          <wp:positionH relativeFrom="page">
            <wp:posOffset>4914900</wp:posOffset>
          </wp:positionH>
          <wp:positionV relativeFrom="paragraph">
            <wp:posOffset>-220980</wp:posOffset>
          </wp:positionV>
          <wp:extent cx="1617980" cy="961390"/>
          <wp:effectExtent l="0" t="0" r="7620" b="3810"/>
          <wp:wrapThrough wrapText="bothSides">
            <wp:wrapPolygon edited="0">
              <wp:start x="0" y="0"/>
              <wp:lineTo x="0" y="21115"/>
              <wp:lineTo x="21363" y="21115"/>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9613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t-EE"/>
      </w:rPr>
      <w:drawing>
        <wp:inline distT="0" distB="0" distL="0" distR="0" wp14:anchorId="1597BE61" wp14:editId="796F4A81">
          <wp:extent cx="3263900" cy="72326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3900" cy="723265"/>
                  </a:xfrm>
                  <a:prstGeom prst="rect">
                    <a:avLst/>
                  </a:prstGeom>
                  <a:noFill/>
                  <a:ln>
                    <a:noFill/>
                  </a:ln>
                </pic:spPr>
              </pic:pic>
            </a:graphicData>
          </a:graphic>
        </wp:inline>
      </w:drawing>
    </w:r>
  </w:p>
  <w:p w14:paraId="06DA5B7F" w14:textId="77777777" w:rsidR="00D73AAA" w:rsidRDefault="00D73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04CE"/>
    <w:multiLevelType w:val="hybridMultilevel"/>
    <w:tmpl w:val="7D28E708"/>
    <w:lvl w:ilvl="0" w:tplc="CFE87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32DB3"/>
    <w:multiLevelType w:val="hybridMultilevel"/>
    <w:tmpl w:val="F13A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5E"/>
    <w:rsid w:val="00004CDB"/>
    <w:rsid w:val="00093DBC"/>
    <w:rsid w:val="000C177D"/>
    <w:rsid w:val="000D3856"/>
    <w:rsid w:val="000E0432"/>
    <w:rsid w:val="000E7B47"/>
    <w:rsid w:val="0011563C"/>
    <w:rsid w:val="0012021C"/>
    <w:rsid w:val="0013340F"/>
    <w:rsid w:val="00133666"/>
    <w:rsid w:val="00141555"/>
    <w:rsid w:val="00165AFA"/>
    <w:rsid w:val="001A261C"/>
    <w:rsid w:val="001A71B4"/>
    <w:rsid w:val="001C2E8C"/>
    <w:rsid w:val="001C3CBC"/>
    <w:rsid w:val="001D313D"/>
    <w:rsid w:val="001E2F50"/>
    <w:rsid w:val="00205388"/>
    <w:rsid w:val="00282B48"/>
    <w:rsid w:val="00291E08"/>
    <w:rsid w:val="002A5122"/>
    <w:rsid w:val="002F71CE"/>
    <w:rsid w:val="00317CFC"/>
    <w:rsid w:val="00342642"/>
    <w:rsid w:val="0035085B"/>
    <w:rsid w:val="00357019"/>
    <w:rsid w:val="003573A2"/>
    <w:rsid w:val="00394B81"/>
    <w:rsid w:val="003B0DCE"/>
    <w:rsid w:val="003E4294"/>
    <w:rsid w:val="004152EF"/>
    <w:rsid w:val="00430C97"/>
    <w:rsid w:val="00437599"/>
    <w:rsid w:val="0047448F"/>
    <w:rsid w:val="0048397B"/>
    <w:rsid w:val="00492E04"/>
    <w:rsid w:val="004C1902"/>
    <w:rsid w:val="004F3EEE"/>
    <w:rsid w:val="00531ED0"/>
    <w:rsid w:val="005560DA"/>
    <w:rsid w:val="005976AF"/>
    <w:rsid w:val="005B4083"/>
    <w:rsid w:val="005B67E1"/>
    <w:rsid w:val="005E3C04"/>
    <w:rsid w:val="005F6666"/>
    <w:rsid w:val="0060794E"/>
    <w:rsid w:val="00613DCF"/>
    <w:rsid w:val="00615029"/>
    <w:rsid w:val="006370DE"/>
    <w:rsid w:val="00667D69"/>
    <w:rsid w:val="00677BD9"/>
    <w:rsid w:val="00681DEF"/>
    <w:rsid w:val="00684ED1"/>
    <w:rsid w:val="00693F0E"/>
    <w:rsid w:val="006E12D5"/>
    <w:rsid w:val="00762921"/>
    <w:rsid w:val="0077396A"/>
    <w:rsid w:val="007B1F4C"/>
    <w:rsid w:val="007F5573"/>
    <w:rsid w:val="007F59EE"/>
    <w:rsid w:val="007F62EC"/>
    <w:rsid w:val="00863B51"/>
    <w:rsid w:val="00866B85"/>
    <w:rsid w:val="0088218E"/>
    <w:rsid w:val="0088422B"/>
    <w:rsid w:val="008F4AFD"/>
    <w:rsid w:val="00904923"/>
    <w:rsid w:val="0090543C"/>
    <w:rsid w:val="00954263"/>
    <w:rsid w:val="009C28A5"/>
    <w:rsid w:val="009F318F"/>
    <w:rsid w:val="009F6608"/>
    <w:rsid w:val="00A15C2B"/>
    <w:rsid w:val="00A56420"/>
    <w:rsid w:val="00A61E40"/>
    <w:rsid w:val="00A670B3"/>
    <w:rsid w:val="00A751B0"/>
    <w:rsid w:val="00AD2B4E"/>
    <w:rsid w:val="00B001A9"/>
    <w:rsid w:val="00B20635"/>
    <w:rsid w:val="00B476D3"/>
    <w:rsid w:val="00B60DF5"/>
    <w:rsid w:val="00B878B9"/>
    <w:rsid w:val="00B91A0D"/>
    <w:rsid w:val="00B92CF0"/>
    <w:rsid w:val="00BA18E5"/>
    <w:rsid w:val="00BB2F05"/>
    <w:rsid w:val="00BC67F4"/>
    <w:rsid w:val="00BD5D8A"/>
    <w:rsid w:val="00BE72DA"/>
    <w:rsid w:val="00C12E7C"/>
    <w:rsid w:val="00C154EF"/>
    <w:rsid w:val="00C310E0"/>
    <w:rsid w:val="00C47AB0"/>
    <w:rsid w:val="00CB7CBE"/>
    <w:rsid w:val="00CC6D1C"/>
    <w:rsid w:val="00D00980"/>
    <w:rsid w:val="00D023A9"/>
    <w:rsid w:val="00D02B3E"/>
    <w:rsid w:val="00D0411E"/>
    <w:rsid w:val="00D16702"/>
    <w:rsid w:val="00D410CB"/>
    <w:rsid w:val="00D43A7A"/>
    <w:rsid w:val="00D51814"/>
    <w:rsid w:val="00D73AAA"/>
    <w:rsid w:val="00D93577"/>
    <w:rsid w:val="00DA5ACE"/>
    <w:rsid w:val="00DC14A7"/>
    <w:rsid w:val="00DE355E"/>
    <w:rsid w:val="00DF15C3"/>
    <w:rsid w:val="00E0012A"/>
    <w:rsid w:val="00E35E81"/>
    <w:rsid w:val="00E43D36"/>
    <w:rsid w:val="00EB256E"/>
    <w:rsid w:val="00EE1AA7"/>
    <w:rsid w:val="00EE4035"/>
    <w:rsid w:val="00F040DD"/>
    <w:rsid w:val="00F07858"/>
    <w:rsid w:val="00F81BDD"/>
    <w:rsid w:val="00F9064D"/>
    <w:rsid w:val="00FC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50E55"/>
  <w14:defaultImageDpi w14:val="300"/>
  <w15:docId w15:val="{5B491316-66F1-49FD-AD2C-D7FBFE60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5E"/>
    <w:rPr>
      <w:lang w:val="et-EE"/>
    </w:rPr>
  </w:style>
  <w:style w:type="paragraph" w:styleId="Heading1">
    <w:name w:val="heading 1"/>
    <w:basedOn w:val="Normal"/>
    <w:next w:val="Normal"/>
    <w:link w:val="Heading1Char"/>
    <w:uiPriority w:val="9"/>
    <w:qFormat/>
    <w:rsid w:val="00C12E7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C12E7C"/>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55E"/>
    <w:pPr>
      <w:tabs>
        <w:tab w:val="center" w:pos="4320"/>
        <w:tab w:val="right" w:pos="8640"/>
      </w:tabs>
    </w:pPr>
  </w:style>
  <w:style w:type="character" w:customStyle="1" w:styleId="HeaderChar">
    <w:name w:val="Header Char"/>
    <w:basedOn w:val="DefaultParagraphFont"/>
    <w:link w:val="Header"/>
    <w:uiPriority w:val="99"/>
    <w:rsid w:val="00DE355E"/>
    <w:rPr>
      <w:lang w:val="et-EE"/>
    </w:rPr>
  </w:style>
  <w:style w:type="paragraph" w:styleId="Footer">
    <w:name w:val="footer"/>
    <w:basedOn w:val="Normal"/>
    <w:link w:val="FooterChar"/>
    <w:uiPriority w:val="99"/>
    <w:unhideWhenUsed/>
    <w:rsid w:val="00DE355E"/>
    <w:pPr>
      <w:tabs>
        <w:tab w:val="center" w:pos="4320"/>
        <w:tab w:val="right" w:pos="8640"/>
      </w:tabs>
    </w:pPr>
  </w:style>
  <w:style w:type="character" w:customStyle="1" w:styleId="FooterChar">
    <w:name w:val="Footer Char"/>
    <w:basedOn w:val="DefaultParagraphFont"/>
    <w:link w:val="Footer"/>
    <w:uiPriority w:val="99"/>
    <w:rsid w:val="00DE355E"/>
    <w:rPr>
      <w:lang w:val="et-EE"/>
    </w:rPr>
  </w:style>
  <w:style w:type="paragraph" w:styleId="BalloonText">
    <w:name w:val="Balloon Text"/>
    <w:basedOn w:val="Normal"/>
    <w:link w:val="BalloonTextChar"/>
    <w:uiPriority w:val="99"/>
    <w:semiHidden/>
    <w:unhideWhenUsed/>
    <w:rsid w:val="00DE3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5E"/>
    <w:rPr>
      <w:rFonts w:ascii="Lucida Grande" w:hAnsi="Lucida Grande" w:cs="Lucida Grande"/>
      <w:sz w:val="18"/>
      <w:szCs w:val="18"/>
      <w:lang w:val="et-EE"/>
    </w:rPr>
  </w:style>
  <w:style w:type="character" w:styleId="Hyperlink">
    <w:name w:val="Hyperlink"/>
    <w:basedOn w:val="DefaultParagraphFont"/>
    <w:uiPriority w:val="99"/>
    <w:unhideWhenUsed/>
    <w:rsid w:val="00C154EF"/>
    <w:rPr>
      <w:color w:val="0000FF" w:themeColor="hyperlink"/>
      <w:u w:val="single"/>
    </w:rPr>
  </w:style>
  <w:style w:type="paragraph" w:styleId="ListParagraph">
    <w:name w:val="List Paragraph"/>
    <w:basedOn w:val="Normal"/>
    <w:uiPriority w:val="34"/>
    <w:qFormat/>
    <w:rsid w:val="00D0411E"/>
    <w:pPr>
      <w:ind w:left="720"/>
      <w:contextualSpacing/>
    </w:pPr>
  </w:style>
  <w:style w:type="character" w:customStyle="1" w:styleId="Heading1Char">
    <w:name w:val="Heading 1 Char"/>
    <w:basedOn w:val="DefaultParagraphFont"/>
    <w:link w:val="Heading1"/>
    <w:uiPriority w:val="9"/>
    <w:rsid w:val="00C12E7C"/>
    <w:rPr>
      <w:rFonts w:eastAsiaTheme="majorEastAsia" w:cstheme="majorBidi"/>
      <w:b/>
      <w:bCs/>
      <w:sz w:val="32"/>
      <w:szCs w:val="32"/>
      <w:lang w:val="et-EE"/>
    </w:rPr>
  </w:style>
  <w:style w:type="character" w:customStyle="1" w:styleId="Heading2Char">
    <w:name w:val="Heading 2 Char"/>
    <w:basedOn w:val="DefaultParagraphFont"/>
    <w:link w:val="Heading2"/>
    <w:uiPriority w:val="9"/>
    <w:rsid w:val="00C12E7C"/>
    <w:rPr>
      <w:rFonts w:eastAsiaTheme="majorEastAsia" w:cstheme="majorBidi"/>
      <w:b/>
      <w:bCs/>
      <w:szCs w:val="26"/>
      <w:lang w:val="et-EE"/>
    </w:rPr>
  </w:style>
  <w:style w:type="paragraph" w:styleId="TOC1">
    <w:name w:val="toc 1"/>
    <w:basedOn w:val="Normal"/>
    <w:next w:val="Normal"/>
    <w:autoRedefine/>
    <w:uiPriority w:val="39"/>
    <w:unhideWhenUsed/>
    <w:rsid w:val="00C12E7C"/>
    <w:pPr>
      <w:spacing w:before="120"/>
    </w:pPr>
    <w:rPr>
      <w:b/>
    </w:rPr>
  </w:style>
  <w:style w:type="paragraph" w:styleId="TOC2">
    <w:name w:val="toc 2"/>
    <w:basedOn w:val="Normal"/>
    <w:next w:val="Normal"/>
    <w:autoRedefine/>
    <w:uiPriority w:val="39"/>
    <w:unhideWhenUsed/>
    <w:rsid w:val="00C12E7C"/>
    <w:pPr>
      <w:ind w:left="240"/>
    </w:pPr>
    <w:rPr>
      <w:b/>
      <w:sz w:val="22"/>
      <w:szCs w:val="22"/>
    </w:rPr>
  </w:style>
  <w:style w:type="paragraph" w:styleId="TOC3">
    <w:name w:val="toc 3"/>
    <w:basedOn w:val="Normal"/>
    <w:next w:val="Normal"/>
    <w:autoRedefine/>
    <w:uiPriority w:val="39"/>
    <w:unhideWhenUsed/>
    <w:rsid w:val="00C12E7C"/>
    <w:pPr>
      <w:ind w:left="480"/>
    </w:pPr>
    <w:rPr>
      <w:sz w:val="22"/>
      <w:szCs w:val="22"/>
    </w:rPr>
  </w:style>
  <w:style w:type="paragraph" w:styleId="TOC4">
    <w:name w:val="toc 4"/>
    <w:basedOn w:val="Normal"/>
    <w:next w:val="Normal"/>
    <w:autoRedefine/>
    <w:uiPriority w:val="39"/>
    <w:unhideWhenUsed/>
    <w:rsid w:val="00C12E7C"/>
    <w:pPr>
      <w:ind w:left="720"/>
    </w:pPr>
    <w:rPr>
      <w:sz w:val="20"/>
      <w:szCs w:val="20"/>
    </w:rPr>
  </w:style>
  <w:style w:type="paragraph" w:styleId="TOC5">
    <w:name w:val="toc 5"/>
    <w:basedOn w:val="Normal"/>
    <w:next w:val="Normal"/>
    <w:autoRedefine/>
    <w:uiPriority w:val="39"/>
    <w:unhideWhenUsed/>
    <w:rsid w:val="00C12E7C"/>
    <w:pPr>
      <w:ind w:left="960"/>
    </w:pPr>
    <w:rPr>
      <w:sz w:val="20"/>
      <w:szCs w:val="20"/>
    </w:rPr>
  </w:style>
  <w:style w:type="paragraph" w:styleId="TOC6">
    <w:name w:val="toc 6"/>
    <w:basedOn w:val="Normal"/>
    <w:next w:val="Normal"/>
    <w:autoRedefine/>
    <w:uiPriority w:val="39"/>
    <w:unhideWhenUsed/>
    <w:rsid w:val="00C12E7C"/>
    <w:pPr>
      <w:ind w:left="1200"/>
    </w:pPr>
    <w:rPr>
      <w:sz w:val="20"/>
      <w:szCs w:val="20"/>
    </w:rPr>
  </w:style>
  <w:style w:type="paragraph" w:styleId="TOC7">
    <w:name w:val="toc 7"/>
    <w:basedOn w:val="Normal"/>
    <w:next w:val="Normal"/>
    <w:autoRedefine/>
    <w:uiPriority w:val="39"/>
    <w:unhideWhenUsed/>
    <w:rsid w:val="00C12E7C"/>
    <w:pPr>
      <w:ind w:left="1440"/>
    </w:pPr>
    <w:rPr>
      <w:sz w:val="20"/>
      <w:szCs w:val="20"/>
    </w:rPr>
  </w:style>
  <w:style w:type="paragraph" w:styleId="TOC8">
    <w:name w:val="toc 8"/>
    <w:basedOn w:val="Normal"/>
    <w:next w:val="Normal"/>
    <w:autoRedefine/>
    <w:uiPriority w:val="39"/>
    <w:unhideWhenUsed/>
    <w:rsid w:val="00C12E7C"/>
    <w:pPr>
      <w:ind w:left="1680"/>
    </w:pPr>
    <w:rPr>
      <w:sz w:val="20"/>
      <w:szCs w:val="20"/>
    </w:rPr>
  </w:style>
  <w:style w:type="paragraph" w:styleId="TOC9">
    <w:name w:val="toc 9"/>
    <w:basedOn w:val="Normal"/>
    <w:next w:val="Normal"/>
    <w:autoRedefine/>
    <w:uiPriority w:val="39"/>
    <w:unhideWhenUsed/>
    <w:rsid w:val="00C12E7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a.eu/rapid/press-release_IP-16-1933_en.htm" TargetMode="External"/><Relationship Id="rId18" Type="http://schemas.openxmlformats.org/officeDocument/2006/relationships/hyperlink" Target="http://www.sciencebusiness.net/news/79829/If-the-UK-votes-leave,-what-would-this-mean-for-EU-science" TargetMode="External"/><Relationship Id="rId26" Type="http://schemas.openxmlformats.org/officeDocument/2006/relationships/hyperlink" Target="http://www.iiasa.ac.at/web/home/about/news/160620-JRC-migration.html" TargetMode="External"/><Relationship Id="rId39" Type="http://schemas.openxmlformats.org/officeDocument/2006/relationships/hyperlink" Target="http://ec.europa.eu/research/index.cfm?pg=newsalert&amp;year=2016&amp;na=na-260516" TargetMode="External"/><Relationship Id="rId21" Type="http://schemas.openxmlformats.org/officeDocument/2006/relationships/hyperlink" Target="http://www.sciencebusiness.net/news/79840/What%E2%80%99s-next-5-Brexit-lessons-for-European-research" TargetMode="External"/><Relationship Id="rId34" Type="http://schemas.openxmlformats.org/officeDocument/2006/relationships/hyperlink" Target="https://ec.europa.eu/digital-single-market/en/news/report-consultation-mathematics-horizon-2020?utm" TargetMode="External"/><Relationship Id="rId42" Type="http://schemas.openxmlformats.org/officeDocument/2006/relationships/hyperlink" Target="https://era.gv.at/object/news/2708" TargetMode="External"/><Relationship Id="rId47" Type="http://schemas.openxmlformats.org/officeDocument/2006/relationships/header" Target="header1.xml"/><Relationship Id="rId7" Type="http://schemas.openxmlformats.org/officeDocument/2006/relationships/hyperlink" Target="http://www.eu2016.sk/en" TargetMode="External"/><Relationship Id="rId2" Type="http://schemas.openxmlformats.org/officeDocument/2006/relationships/styles" Target="styles.xml"/><Relationship Id="rId16" Type="http://schemas.openxmlformats.org/officeDocument/2006/relationships/hyperlink" Target="http://www.sciencebusiness.net/news/79843/UK-Horizon-2020-contracts-safe-insist-Moedas-and-Cameron" TargetMode="External"/><Relationship Id="rId29" Type="http://schemas.openxmlformats.org/officeDocument/2006/relationships/hyperlink" Target="http://ec.europa.eu/research/openscience/pdf/hleg/hleg-eosc-first-report_(draft).pdf" TargetMode="External"/><Relationship Id="rId11" Type="http://schemas.openxmlformats.org/officeDocument/2006/relationships/hyperlink" Target="https://ec.europa.eu/digital-single-market/en/news/open-innovation-open-science-open-world-vision-europe" TargetMode="External"/><Relationship Id="rId24" Type="http://schemas.openxmlformats.org/officeDocument/2006/relationships/hyperlink" Target="http://eeas.europa.eu/china/docs/joint_communication_to_the_european_parliament_and_the_council_-_elements_for_a_new_eu_strategy_on_china.pdf" TargetMode="External"/><Relationship Id="rId32" Type="http://schemas.openxmlformats.org/officeDocument/2006/relationships/hyperlink" Target="http://ec.europa.eu/research/participants/data/ref/h2020/other/events/survey/h2020_simplification-survey_final-report_en.pdf" TargetMode="External"/><Relationship Id="rId37" Type="http://schemas.openxmlformats.org/officeDocument/2006/relationships/hyperlink" Target="https://era.gv.at/object/document/2726/attach/160400_ERA_Cost_of_No-Europe_Report_EPRS.pdf" TargetMode="External"/><Relationship Id="rId40" Type="http://schemas.openxmlformats.org/officeDocument/2006/relationships/hyperlink" Target="http://ec.europa.eu/epsc/publications/notes/sn15_en.htm" TargetMode="External"/><Relationship Id="rId45" Type="http://schemas.openxmlformats.org/officeDocument/2006/relationships/hyperlink" Target="mailto:kadri.sirg@etag.ee" TargetMode="External"/><Relationship Id="rId5" Type="http://schemas.openxmlformats.org/officeDocument/2006/relationships/footnotes" Target="footnotes.xml"/><Relationship Id="rId15" Type="http://schemas.openxmlformats.org/officeDocument/2006/relationships/hyperlink" Target="http://www.sciencebusiness.net/news/79817/One-year-in,-is-the-Juncker-plan-delivering" TargetMode="External"/><Relationship Id="rId23" Type="http://schemas.openxmlformats.org/officeDocument/2006/relationships/hyperlink" Target="http://www.sciencebusiness.net/news/79806/New-university-lobby-group-to-campaign-on-next-EU-research-programme" TargetMode="External"/><Relationship Id="rId28" Type="http://schemas.openxmlformats.org/officeDocument/2006/relationships/hyperlink" Target="http://www.sciencebusiness.net/news/79831/Commission-to-offer-gender-equality-advice-for-universities" TargetMode="External"/><Relationship Id="rId36" Type="http://schemas.openxmlformats.org/officeDocument/2006/relationships/hyperlink" Target="https://era.gv.at/object/document/2727" TargetMode="External"/><Relationship Id="rId49" Type="http://schemas.openxmlformats.org/officeDocument/2006/relationships/theme" Target="theme/theme1.xml"/><Relationship Id="rId10" Type="http://schemas.openxmlformats.org/officeDocument/2006/relationships/hyperlink" Target="https://era.gv.at/object/document/2677/attach/Open_innovation__open_science__open_to_the_world__A_vision_for_Europe_.pdf" TargetMode="External"/><Relationship Id="rId19" Type="http://schemas.openxmlformats.org/officeDocument/2006/relationships/hyperlink" Target="http://www.sciencebusiness.net/news/79839/Scientists-stunned-by-Brexit" TargetMode="External"/><Relationship Id="rId31" Type="http://schemas.openxmlformats.org/officeDocument/2006/relationships/hyperlink" Target="http://www.nature.com/news/boon-or-burden-what-has-the-eu-ever-done-for-science-1.20089?WT.mc_id=TWT_NatureNews" TargetMode="External"/><Relationship Id="rId44" Type="http://schemas.openxmlformats.org/officeDocument/2006/relationships/hyperlink" Target="http://europa.eu/rapid/press-release_IP-16-2063_en.htm" TargetMode="External"/><Relationship Id="rId4" Type="http://schemas.openxmlformats.org/officeDocument/2006/relationships/webSettings" Target="webSettings.xml"/><Relationship Id="rId9" Type="http://schemas.openxmlformats.org/officeDocument/2006/relationships/hyperlink" Target="http://ec.europa.eu/research/openscience/pdf/ospp_nominated_members.pdf" TargetMode="External"/><Relationship Id="rId14" Type="http://schemas.openxmlformats.org/officeDocument/2006/relationships/hyperlink" Target="http://www.eua.be/Libraries/publications-homepage-list/one-year-of-efsi-whats-in-it-for-universities-an-eua-review" TargetMode="External"/><Relationship Id="rId22" Type="http://schemas.openxmlformats.org/officeDocument/2006/relationships/hyperlink" Target="https://www.swisscore.org/Pages/Detail.aspx?CrmId=%7B4c80531b-b93e-e611-80c5-005056b7191c%7D&amp;contenttype=scArticle&amp;_cldee=YW5uaWthLmVza3Vzc29uQGV0YWcuZWU%3d" TargetMode="External"/><Relationship Id="rId27" Type="http://schemas.openxmlformats.org/officeDocument/2006/relationships/hyperlink" Target="http://ec.europa.eu/research/index.cfm?pg=newsalert&amp;year=2016&amp;na=na-030616" TargetMode="External"/><Relationship Id="rId30" Type="http://schemas.openxmlformats.org/officeDocument/2006/relationships/hyperlink" Target="http://ec.europa.eu/research/openscience/index.cfm?pg=open-science-cloud" TargetMode="External"/><Relationship Id="rId35" Type="http://schemas.openxmlformats.org/officeDocument/2006/relationships/hyperlink" Target="https://era.gv.at/object/news/2721" TargetMode="External"/><Relationship Id="rId43" Type="http://schemas.openxmlformats.org/officeDocument/2006/relationships/hyperlink" Target="https://era.gv.at/object/news/2695" TargetMode="External"/><Relationship Id="rId48" Type="http://schemas.openxmlformats.org/officeDocument/2006/relationships/fontTable" Target="fontTable.xml"/><Relationship Id="rId8" Type="http://schemas.openxmlformats.org/officeDocument/2006/relationships/hyperlink" Target="https://www.swisscore.org/Pages/Detail.aspx?CrmId=%7B3577a6ce-743d-e611-80c5-005056b7191c%7D&amp;contenttype=scArticle&amp;_cldee=YW5uaWthLmVza3Vzc29uQGV0YWcuZWU%3d" TargetMode="External"/><Relationship Id="rId3" Type="http://schemas.openxmlformats.org/officeDocument/2006/relationships/settings" Target="settings.xml"/><Relationship Id="rId12" Type="http://schemas.openxmlformats.org/officeDocument/2006/relationships/hyperlink" Target="http://bookshop.europa.eu/en/science-research-and-innovation-performance-of-the-eu-pbKI0415512/" TargetMode="External"/><Relationship Id="rId17" Type="http://schemas.openxmlformats.org/officeDocument/2006/relationships/hyperlink" Target="http://sciencebusiness.net/news/79838/Live-blog-Brexit-science-and-technology" TargetMode="External"/><Relationship Id="rId25" Type="http://schemas.openxmlformats.org/officeDocument/2006/relationships/hyperlink" Target="europa.eu/rapid/press-release_IP-16-2259_et.pdf" TargetMode="External"/><Relationship Id="rId33" Type="http://schemas.openxmlformats.org/officeDocument/2006/relationships/hyperlink" Target="https://www.swisscore.org/Pages/Detail.aspx?CrmId=%7B50bddbe8-fa3c-e611-80c5-005056b7191c%7D&amp;contenttype=scArticle&amp;_cldee=YW5uaWthLmVza3Vzc29uQGV0YWcuZWU%3d" TargetMode="External"/><Relationship Id="rId38" Type="http://schemas.openxmlformats.org/officeDocument/2006/relationships/hyperlink" Target="https://ec.europa.eu/research/innovation-deals/index.cfm" TargetMode="External"/><Relationship Id="rId46" Type="http://schemas.openxmlformats.org/officeDocument/2006/relationships/hyperlink" Target="mailto:annika.eskusson@etag.ee" TargetMode="External"/><Relationship Id="rId20" Type="http://schemas.openxmlformats.org/officeDocument/2006/relationships/hyperlink" Target="http://www.sciencebusiness.net/news/79842/Brexit-fallout-will-damage-ICT-sector-across-Europe" TargetMode="External"/><Relationship Id="rId41" Type="http://schemas.openxmlformats.org/officeDocument/2006/relationships/hyperlink" Target="http://www.sciencebusiness.net/news/79861/EU-should-take-bolder-research-bets%2c-says-Commission%E2%80%99s-adviser-on-innovatio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Eeva Kumberg</cp:lastModifiedBy>
  <cp:revision>2</cp:revision>
  <dcterms:created xsi:type="dcterms:W3CDTF">2016-07-14T07:36:00Z</dcterms:created>
  <dcterms:modified xsi:type="dcterms:W3CDTF">2016-07-14T07:36:00Z</dcterms:modified>
</cp:coreProperties>
</file>